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0" w:right="117" w:firstLine="0"/>
        <w:jc w:val="right"/>
        <w:rPr>
          <w:b/>
          <w:sz w:val="22"/>
        </w:rPr>
      </w:pPr>
      <w:r>
        <w:rPr/>
        <w:pict>
          <v:shape style="position:absolute;margin-left:161.574844pt;margin-top:-541.417480pt;width:841.9pt;height:595.3pt;mso-position-horizontal-relative:page;mso-position-vertical-relative:page;z-index:-251790336" coordorigin="3231,-10828" coordsize="16838,11906" path="m11906,0l11906,16838m0,0l0,16838m0,16838l11906,16838e" filled="false" stroked="true" strokeweight=".100063pt" strokecolor="#231f20">
            <v:path arrowok="t"/>
            <v:stroke dashstyle="dash"/>
            <w10:wrap type="none"/>
          </v:shape>
        </w:pict>
      </w:r>
      <w:r>
        <w:rPr>
          <w:b/>
          <w:color w:val="7E7E7E"/>
          <w:sz w:val="22"/>
        </w:rPr>
        <w:t>A</w:t>
      </w:r>
      <w:r>
        <w:rPr>
          <w:b/>
          <w:color w:val="7E7E7E"/>
          <w:sz w:val="18"/>
        </w:rPr>
        <w:t>NHANG ZU </w:t>
      </w:r>
      <w:r>
        <w:rPr>
          <w:b/>
          <w:color w:val="7E7E7E"/>
          <w:sz w:val="22"/>
        </w:rPr>
        <w:t>2.4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</w:rPr>
      </w:pPr>
    </w:p>
    <w:p>
      <w:pPr>
        <w:spacing w:before="102"/>
        <w:ind w:left="118" w:right="0" w:firstLine="0"/>
        <w:jc w:val="left"/>
        <w:rPr>
          <w:sz w:val="24"/>
        </w:rPr>
      </w:pPr>
      <w:r>
        <w:rPr>
          <w:sz w:val="24"/>
        </w:rPr>
        <w:t>Anhang 7</w:t>
      </w:r>
      <w:r>
        <w:rPr>
          <w:sz w:val="24"/>
          <w:vertAlign w:val="superscript"/>
        </w:rPr>
        <w:t>8</w:t>
      </w:r>
    </w:p>
    <w:p>
      <w:pPr>
        <w:spacing w:before="239"/>
        <w:ind w:left="118" w:right="0" w:firstLine="0"/>
        <w:jc w:val="left"/>
        <w:rPr>
          <w:sz w:val="24"/>
        </w:rPr>
      </w:pPr>
      <w:r>
        <w:rPr>
          <w:b/>
          <w:sz w:val="24"/>
        </w:rPr>
        <w:t>METHODENBLATT: MATHEMATISCHES ARGUMENTIEREN </w:t>
      </w:r>
      <w:r>
        <w:rPr>
          <w:sz w:val="24"/>
        </w:rPr>
        <w:t>(mündlich und schriftlich)</w:t>
      </w:r>
    </w:p>
    <w:p>
      <w:pPr>
        <w:pStyle w:val="Heading1"/>
      </w:pPr>
      <w:r>
        <w:rPr/>
        <w:t>Inhaltlicher Aufbau eines mathematischen Arguments</w:t>
      </w:r>
    </w:p>
    <w:p>
      <w:pPr>
        <w:pStyle w:val="BodyText"/>
        <w:spacing w:before="120"/>
        <w:ind w:left="118"/>
      </w:pPr>
      <w:r>
        <w:rPr/>
        <w:t>Erklären versus begründen: „Womit kannst du uns überzeugen?“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0"/>
        <w:gridCol w:w="4440"/>
      </w:tblGrid>
      <w:tr>
        <w:trPr>
          <w:trHeight w:val="945" w:hRule="atLeast"/>
        </w:trPr>
        <w:tc>
          <w:tcPr>
            <w:tcW w:w="4440" w:type="dxa"/>
          </w:tcPr>
          <w:p>
            <w:pPr>
              <w:pStyle w:val="TableParagraph"/>
              <w:ind w:right="616"/>
              <w:rPr>
                <w:sz w:val="22"/>
              </w:rPr>
            </w:pPr>
            <w:r>
              <w:rPr>
                <w:b/>
                <w:sz w:val="22"/>
              </w:rPr>
              <w:t>erklären: </w:t>
            </w:r>
            <w:r>
              <w:rPr>
                <w:sz w:val="22"/>
              </w:rPr>
              <w:t>Was hast du gemacht? Wie hast du das gemacht?</w:t>
            </w:r>
          </w:p>
        </w:tc>
        <w:tc>
          <w:tcPr>
            <w:tcW w:w="4440" w:type="dxa"/>
          </w:tcPr>
          <w:p>
            <w:pPr>
              <w:pStyle w:val="TableParagraph"/>
              <w:ind w:right="1512"/>
              <w:rPr>
                <w:sz w:val="22"/>
              </w:rPr>
            </w:pPr>
            <w:r>
              <w:rPr>
                <w:b/>
                <w:sz w:val="22"/>
              </w:rPr>
              <w:t>begründen: </w:t>
            </w:r>
            <w:r>
              <w:rPr>
                <w:sz w:val="22"/>
              </w:rPr>
              <w:t>Warum hast du das gemacht?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Wieso funktioniert das?</w:t>
            </w:r>
          </w:p>
        </w:tc>
      </w:tr>
      <w:tr>
        <w:trPr>
          <w:trHeight w:val="969" w:hRule="atLeast"/>
        </w:trPr>
        <w:tc>
          <w:tcPr>
            <w:tcW w:w="4440" w:type="dxa"/>
          </w:tcPr>
          <w:p>
            <w:pPr>
              <w:pStyle w:val="TableParagraph"/>
              <w:ind w:right="880"/>
              <w:rPr>
                <w:i/>
                <w:sz w:val="22"/>
              </w:rPr>
            </w:pPr>
            <w:r>
              <w:rPr>
                <w:sz w:val="22"/>
                <w:u w:val="single"/>
              </w:rPr>
              <w:t>wichtige Wörter</w:t>
            </w:r>
            <w:r>
              <w:rPr>
                <w:sz w:val="22"/>
              </w:rPr>
              <w:t>: </w:t>
            </w:r>
            <w:r>
              <w:rPr>
                <w:i/>
                <w:sz w:val="22"/>
              </w:rPr>
              <w:t>zuerst, dann, danach, </w:t>
            </w:r>
            <w:r>
              <w:rPr>
                <w:i/>
                <w:sz w:val="22"/>
              </w:rPr>
              <w:t>zunächst, am Ende, letztlich…</w:t>
            </w:r>
          </w:p>
        </w:tc>
        <w:tc>
          <w:tcPr>
            <w:tcW w:w="4440" w:type="dxa"/>
          </w:tcPr>
          <w:p>
            <w:pPr>
              <w:pStyle w:val="TableParagraph"/>
              <w:ind w:right="616"/>
              <w:rPr>
                <w:i/>
                <w:sz w:val="22"/>
              </w:rPr>
            </w:pPr>
            <w:r>
              <w:rPr>
                <w:sz w:val="22"/>
                <w:u w:val="single"/>
              </w:rPr>
              <w:t>wichtige Wörter</w:t>
            </w:r>
            <w:r>
              <w:rPr>
                <w:sz w:val="22"/>
              </w:rPr>
              <w:t>: </w:t>
            </w:r>
            <w:r>
              <w:rPr>
                <w:i/>
                <w:sz w:val="22"/>
              </w:rPr>
              <w:t>weil, darum, deswegen, </w:t>
            </w:r>
            <w:r>
              <w:rPr>
                <w:i/>
                <w:sz w:val="22"/>
              </w:rPr>
              <w:t>wegen, deshalb, da…</w:t>
            </w:r>
          </w:p>
        </w:tc>
      </w:tr>
      <w:tr>
        <w:trPr>
          <w:trHeight w:val="5250" w:hRule="atLeast"/>
        </w:trPr>
        <w:tc>
          <w:tcPr>
            <w:tcW w:w="8880" w:type="dxa"/>
            <w:gridSpan w:val="2"/>
          </w:tcPr>
          <w:p>
            <w:pPr>
              <w:pStyle w:val="TableParagraph"/>
              <w:spacing w:line="348" w:lineRule="auto"/>
              <w:ind w:right="4685"/>
              <w:rPr>
                <w:sz w:val="22"/>
              </w:rPr>
            </w:pPr>
            <w:r>
              <w:rPr>
                <w:sz w:val="22"/>
                <w:u w:val="single"/>
              </w:rPr>
              <w:t>Übungsmöglichkeiten</w:t>
            </w:r>
            <w:r>
              <w:rPr>
                <w:sz w:val="22"/>
              </w:rPr>
              <w:t>: Erklären vs. begründen z.B.: Summen von Nachbarzahlen</w:t>
            </w:r>
            <w:r>
              <w:rPr>
                <w:sz w:val="22"/>
                <w:vertAlign w:val="superscript"/>
              </w:rPr>
              <w:t>9</w:t>
            </w:r>
          </w:p>
          <w:p>
            <w:pPr>
              <w:pStyle w:val="TableParagraph"/>
              <w:spacing w:before="0"/>
              <w:ind w:right="839"/>
              <w:rPr>
                <w:sz w:val="22"/>
              </w:rPr>
            </w:pPr>
            <w:r>
              <w:rPr>
                <w:sz w:val="22"/>
              </w:rPr>
              <w:t>Mia behauptet: „Die Summe von vier aufeinander folgenden natürlichen Zahlen ist stets durch zwei teilbar.“</w:t>
            </w:r>
          </w:p>
          <w:p>
            <w:pPr>
              <w:pStyle w:val="TableParagraph"/>
              <w:spacing w:line="348" w:lineRule="auto" w:before="118"/>
              <w:ind w:right="4685" w:hanging="1"/>
              <w:rPr>
                <w:sz w:val="22"/>
              </w:rPr>
            </w:pPr>
            <w:r>
              <w:rPr>
                <w:sz w:val="22"/>
              </w:rPr>
              <w:t>Hat Mia recht? Begründe deine Antwort. </w:t>
            </w:r>
            <w:r>
              <w:rPr>
                <w:sz w:val="22"/>
                <w:u w:val="single"/>
              </w:rPr>
              <w:t>Hinweis</w:t>
            </w:r>
            <w:r>
              <w:rPr>
                <w:sz w:val="22"/>
              </w:rPr>
              <w:t> </w:t>
            </w:r>
            <w:r>
              <w:rPr>
                <w:rFonts w:ascii="Wingdings" w:hAnsi="Wingdings"/>
                <w:sz w:val="22"/>
              </w:rPr>
              <w:t>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erklären = </w:t>
            </w:r>
            <w:r>
              <w:rPr>
                <w:i/>
                <w:sz w:val="22"/>
              </w:rPr>
              <w:t>was </w:t>
            </w:r>
            <w:r>
              <w:rPr>
                <w:sz w:val="22"/>
              </w:rPr>
              <w:t>ich gemacht habe: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4" w:val="left" w:leader="none"/>
                <w:tab w:pos="765" w:val="left" w:leader="none"/>
              </w:tabs>
              <w:spacing w:line="271" w:lineRule="exact" w:before="0" w:after="0"/>
              <w:ind w:left="764" w:right="0" w:hanging="352"/>
              <w:jc w:val="left"/>
              <w:rPr>
                <w:sz w:val="22"/>
              </w:rPr>
            </w:pPr>
            <w:r>
              <w:rPr>
                <w:sz w:val="22"/>
              </w:rPr>
              <w:t>z.B.: „Ich habe 2, 3, 4 und 5 addiert und das ist gleich 14. 14 ist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durch</w:t>
            </w:r>
          </w:p>
          <w:p>
            <w:pPr>
              <w:pStyle w:val="TableParagraph"/>
              <w:spacing w:before="0"/>
              <w:ind w:left="770" w:right="839"/>
              <w:rPr>
                <w:sz w:val="22"/>
              </w:rPr>
            </w:pPr>
            <w:r>
              <w:rPr>
                <w:sz w:val="22"/>
              </w:rPr>
              <w:t>2 teilbar. Dann habe ich 3, 4, 5 und 6 addiert und das ist 18. 18 ist auch durch 2 teilbar. Danach habe ich 4, 5, 6 und 7 addiert und das ist 22. Auch hier sieht man, dass das Ergebnis durch 2 teilbar ist. Die Summe wächst jeweils um 4.“</w:t>
            </w:r>
          </w:p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  <w:u w:val="single"/>
              </w:rPr>
              <w:t>Hinweis</w:t>
            </w:r>
            <w:r>
              <w:rPr>
                <w:sz w:val="22"/>
              </w:rPr>
              <w:t> </w:t>
            </w:r>
            <w:r>
              <w:rPr>
                <w:rFonts w:ascii="Wingdings" w:hAnsi="Wingdings"/>
                <w:sz w:val="22"/>
              </w:rPr>
              <w:t>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begründen = </w:t>
            </w:r>
            <w:r>
              <w:rPr>
                <w:i/>
                <w:sz w:val="22"/>
              </w:rPr>
              <w:t>wieso </w:t>
            </w:r>
            <w:r>
              <w:rPr>
                <w:sz w:val="22"/>
              </w:rPr>
              <w:t>meine Lösungswege und Lösung funktionieren: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4" w:val="left" w:leader="none"/>
                <w:tab w:pos="765" w:val="left" w:leader="none"/>
              </w:tabs>
              <w:spacing w:line="237" w:lineRule="auto" w:before="122" w:after="0"/>
              <w:ind w:left="776" w:right="1011" w:hanging="361"/>
              <w:jc w:val="left"/>
              <w:rPr>
                <w:sz w:val="22"/>
              </w:rPr>
            </w:pPr>
            <w:r>
              <w:rPr>
                <w:sz w:val="22"/>
              </w:rPr>
              <w:t>z.B.: „Ja, Mia hat recht. Meine Antwort macht Sinn, </w:t>
            </w:r>
            <w:r>
              <w:rPr>
                <w:i/>
                <w:sz w:val="22"/>
              </w:rPr>
              <w:t>weil </w:t>
            </w:r>
            <w:r>
              <w:rPr>
                <w:sz w:val="22"/>
              </w:rPr>
              <w:t>die Summe der vier Nachbarzahlen jeweils um 4 wächst (14 auf 18 auf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22 usw.). Alle Ergebnisse der Summen sind gerade und bleiben </w:t>
            </w:r>
            <w:r>
              <w:rPr>
                <w:i/>
                <w:sz w:val="22"/>
              </w:rPr>
              <w:t>deshalb </w:t>
            </w:r>
            <w:r>
              <w:rPr>
                <w:sz w:val="22"/>
              </w:rPr>
              <w:t>immer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durch</w:t>
            </w:r>
          </w:p>
          <w:p>
            <w:pPr>
              <w:pStyle w:val="TableParagraph"/>
              <w:spacing w:before="0"/>
              <w:ind w:left="776" w:right="169"/>
              <w:rPr>
                <w:sz w:val="22"/>
              </w:rPr>
            </w:pPr>
            <w:r>
              <w:rPr>
                <w:sz w:val="22"/>
              </w:rPr>
              <w:t>2 teilbar. Die Teilbarkeitsregel zur 2 besteht: Eine Zahl ist durch 2 teilbar, wenn ihre letzte Ziffer gerade (0, 2, 4, 6 oder 8) ist.“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spacing w:before="0"/>
        <w:ind w:left="686" w:right="0" w:firstLine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926062</wp:posOffset>
            </wp:positionH>
            <wp:positionV relativeFrom="paragraph">
              <wp:posOffset>-375717</wp:posOffset>
            </wp:positionV>
            <wp:extent cx="200479" cy="5446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79" cy="54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T</w:t>
      </w:r>
      <w:r>
        <w:rPr>
          <w:b/>
          <w:sz w:val="26"/>
        </w:rPr>
        <w:t>IPP</w:t>
      </w:r>
    </w:p>
    <w:p>
      <w:pPr>
        <w:pStyle w:val="Heading1"/>
        <w:spacing w:before="121"/>
        <w:ind w:left="686"/>
      </w:pPr>
      <w:r>
        <w:rPr/>
        <w:t>erklären</w:t>
      </w:r>
    </w:p>
    <w:p>
      <w:pPr>
        <w:pStyle w:val="BodyText"/>
        <w:spacing w:before="120"/>
        <w:ind w:left="686" w:right="743"/>
      </w:pPr>
      <w:r>
        <w:rPr/>
        <w:t>Definition: Sachverhalte mit Hilfe eigenen Kenntnissen verständlich und nachvollziehbar machen.</w:t>
      </w:r>
    </w:p>
    <w:p>
      <w:pPr>
        <w:pStyle w:val="Heading1"/>
        <w:ind w:left="686"/>
      </w:pPr>
      <w:r>
        <w:rPr/>
        <w:t>begründen</w:t>
      </w:r>
    </w:p>
    <w:p>
      <w:pPr>
        <w:pStyle w:val="BodyText"/>
        <w:spacing w:before="120"/>
        <w:ind w:left="686" w:right="584"/>
      </w:pPr>
      <w:r>
        <w:rPr/>
        <w:t>Definition: Sachverhalte unter Nutzung von Regeln und mathematischen Beziehungen auf Gesetzmäßigkeiten bzw. kausale Zusammenhänge zurückführen.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70.920006pt;margin-top:10.549295pt;width:144pt;height:.1pt;mso-position-horizontal-relative:page;mso-position-vertical-relative:paragraph;z-index:-251658240;mso-wrap-distance-left:0;mso-wrap-distance-right:0" coordorigin="1418,211" coordsize="2880,0" path="m1418,211l4298,211e" filled="false" stroked="true" strokeweight=".7200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6"/>
        </w:rPr>
      </w:pPr>
    </w:p>
    <w:p>
      <w:pPr>
        <w:spacing w:before="76"/>
        <w:ind w:left="118" w:right="0" w:firstLine="0"/>
        <w:jc w:val="left"/>
        <w:rPr>
          <w:sz w:val="18"/>
        </w:rPr>
      </w:pPr>
      <w:r>
        <w:rPr>
          <w:position w:val="9"/>
          <w:sz w:val="12"/>
        </w:rPr>
        <w:t>8 </w:t>
      </w:r>
      <w:r>
        <w:rPr>
          <w:sz w:val="18"/>
        </w:rPr>
        <w:t>aus: Schallenberg 2017b.</w:t>
      </w:r>
    </w:p>
    <w:p>
      <w:pPr>
        <w:spacing w:before="0"/>
        <w:ind w:left="231" w:right="19" w:hanging="114"/>
        <w:jc w:val="left"/>
        <w:rPr>
          <w:sz w:val="18"/>
        </w:rPr>
      </w:pPr>
      <w:r>
        <w:rPr>
          <w:position w:val="7"/>
          <w:sz w:val="9"/>
        </w:rPr>
        <w:t>9 </w:t>
      </w:r>
      <w:r>
        <w:rPr>
          <w:sz w:val="18"/>
        </w:rPr>
        <w:t>In Anlehnung an Blum, Werner/ Drüke-Noe, Christina/ Hartung, Ralph/ Köller, Olaf (2010). Bildungsstandards Mathematik: Konkret: Sekundarstufe I: Aufgabenbeispiele, Unterrichtsanregungen, Fortbildungsideen (4. Aufl.). Berlin: Cornelsen Scriptor. S. 37-38.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10" w:h="16840"/>
          <w:pgMar w:footer="685" w:top="520" w:bottom="880" w:left="1300" w:right="1300"/>
        </w:sectPr>
      </w:pPr>
    </w:p>
    <w:p>
      <w:pPr>
        <w:spacing w:before="45"/>
        <w:ind w:left="0" w:right="117" w:firstLine="0"/>
        <w:jc w:val="right"/>
        <w:rPr>
          <w:b/>
          <w:sz w:val="22"/>
        </w:rPr>
      </w:pPr>
      <w:r>
        <w:rPr/>
        <w:pict>
          <v:shape style="position:absolute;margin-left:161.574799pt;margin-top:-1165.039307pt;width:841.9pt;height:595.3pt;mso-position-horizontal-relative:page;mso-position-vertical-relative:page;z-index:251662336" coordorigin="3231,-23301" coordsize="16838,11906" path="m11906,16838l11906,0m11906,16838l0,16838e" filled="false" stroked="true" strokeweight=".100063pt" strokecolor="#231f20">
            <v:path arrowok="t"/>
            <v:stroke dashstyle="dash"/>
            <w10:wrap type="none"/>
          </v:shape>
        </w:pict>
      </w:r>
      <w:r>
        <w:rPr>
          <w:b/>
          <w:color w:val="7E7E7E"/>
          <w:sz w:val="22"/>
        </w:rPr>
        <w:t>A</w:t>
      </w:r>
      <w:r>
        <w:rPr>
          <w:b/>
          <w:color w:val="7E7E7E"/>
          <w:sz w:val="18"/>
        </w:rPr>
        <w:t>NHANG ZU </w:t>
      </w:r>
      <w:r>
        <w:rPr>
          <w:b/>
          <w:color w:val="7E7E7E"/>
          <w:sz w:val="22"/>
        </w:rPr>
        <w:t>2.4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52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FORMULIERUNGSHILFEN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1"/>
        <w:spacing w:before="0"/>
      </w:pPr>
      <w:r>
        <w:rPr/>
        <w:t>Mögliche Satzanfänge für die Präsentation der Argumente</w:t>
      </w:r>
    </w:p>
    <w:p>
      <w:pPr>
        <w:pStyle w:val="BodyText"/>
        <w:spacing w:before="119"/>
        <w:ind w:left="118"/>
      </w:pPr>
      <w:r>
        <w:rPr>
          <w:u w:val="single"/>
        </w:rPr>
        <w:t>Den eigenen Lösungsweg präsentieren</w:t>
      </w:r>
    </w:p>
    <w:p>
      <w:pPr>
        <w:pStyle w:val="BodyText"/>
        <w:spacing w:line="360" w:lineRule="auto" w:before="1"/>
        <w:ind w:left="118" w:right="4289"/>
      </w:pPr>
      <w:r>
        <w:rPr/>
        <w:t>Wir haben diese Vorgehensweise ausgewählt, weil… Wir haben die folgenden Annahmen verwendet, weil…</w:t>
      </w:r>
    </w:p>
    <w:p>
      <w:pPr>
        <w:pStyle w:val="BodyText"/>
        <w:spacing w:line="360" w:lineRule="auto"/>
        <w:ind w:left="118" w:right="2792"/>
      </w:pPr>
      <w:r>
        <w:rPr/>
        <w:t>Ich kann meine Antwort mit den folgenden Informationen begründen... Ich denke, dass …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8"/>
      </w:pPr>
      <w:r>
        <w:rPr>
          <w:u w:val="single"/>
        </w:rPr>
        <w:t>Anderen Lösungswegen zustimmen:</w:t>
      </w:r>
    </w:p>
    <w:p>
      <w:pPr>
        <w:pStyle w:val="BodyText"/>
        <w:tabs>
          <w:tab w:pos="2048" w:val="left" w:leader="none"/>
        </w:tabs>
        <w:spacing w:line="360" w:lineRule="auto"/>
        <w:ind w:left="118" w:right="740"/>
      </w:pPr>
      <w:r>
        <w:rPr/>
        <w:t>Als ich über die Aufgabe oder den Lösungsweg nachgedacht habe, habe ich festgestellt, dass … Ich</w:t>
      </w:r>
      <w:r>
        <w:rPr>
          <w:spacing w:val="-3"/>
        </w:rPr>
        <w:t> </w:t>
      </w:r>
      <w:r>
        <w:rPr/>
        <w:t>stimme</w:t>
      </w:r>
      <w:r>
        <w:rPr>
          <w:spacing w:val="-2"/>
        </w:rPr>
        <w:t> </w:t>
      </w:r>
      <w:r>
        <w:rPr/>
        <w:t>mit</w:t>
      </w:r>
      <w:r>
        <w:rPr>
          <w:u w:val="single"/>
        </w:rPr>
        <w:t> </w:t>
        <w:tab/>
      </w:r>
      <w:r>
        <w:rPr/>
        <w:t>überein, weil</w:t>
      </w:r>
      <w:r>
        <w:rPr>
          <w:spacing w:val="1"/>
        </w:rPr>
        <w:t> </w:t>
      </w:r>
      <w:r>
        <w:rPr/>
        <w:t>…</w:t>
      </w:r>
    </w:p>
    <w:p>
      <w:pPr>
        <w:pStyle w:val="BodyText"/>
        <w:spacing w:line="268" w:lineRule="exact"/>
        <w:ind w:left="118"/>
      </w:pPr>
      <w:r>
        <w:rPr>
          <w:u w:val="single"/>
        </w:rPr>
        <w:t>Anderen Lösungswegen widersprechen:</w:t>
      </w:r>
    </w:p>
    <w:p>
      <w:pPr>
        <w:pStyle w:val="BodyText"/>
        <w:tabs>
          <w:tab w:pos="1939" w:val="left" w:leader="none"/>
        </w:tabs>
        <w:spacing w:line="360" w:lineRule="auto"/>
        <w:ind w:left="118" w:right="2728"/>
      </w:pPr>
      <w:r>
        <w:rPr/>
        <w:t>Ich habe eine andere Meinung, weil … / Ich bin anderer Meinung, weil … Die</w:t>
      </w:r>
      <w:r>
        <w:rPr>
          <w:spacing w:val="-3"/>
        </w:rPr>
        <w:t> </w:t>
      </w:r>
      <w:r>
        <w:rPr/>
        <w:t>Idee</w:t>
      </w:r>
      <w:r>
        <w:rPr>
          <w:spacing w:val="-1"/>
        </w:rPr>
        <w:t> </w:t>
      </w:r>
      <w:r>
        <w:rPr/>
        <w:t>von</w:t>
      </w:r>
      <w:r>
        <w:rPr>
          <w:u w:val="single"/>
        </w:rPr>
        <w:t> </w:t>
        <w:tab/>
      </w:r>
      <w:r>
        <w:rPr/>
        <w:t>hat mich auf die folgende Idee gebracht</w:t>
      </w:r>
      <w:r>
        <w:rPr>
          <w:spacing w:val="41"/>
        </w:rPr>
        <w:t> </w:t>
      </w:r>
      <w:r>
        <w:rPr/>
        <w:t>...</w:t>
      </w:r>
    </w:p>
    <w:p>
      <w:pPr>
        <w:pStyle w:val="BodyText"/>
        <w:spacing w:line="268" w:lineRule="exact"/>
        <w:ind w:left="118"/>
      </w:pPr>
      <w:r>
        <w:rPr/>
        <w:t>Eine andere Vorgehensweise wäre ...</w:t>
      </w:r>
    </w:p>
    <w:p>
      <w:pPr>
        <w:pStyle w:val="Heading1"/>
        <w:spacing w:line="510" w:lineRule="atLeast" w:before="134"/>
        <w:ind w:right="3323"/>
      </w:pPr>
      <w:r>
        <w:rPr/>
        <w:t>Aktives Zuhören und Beantworten – Ein diskursives Lernumfeld: Regeln für das aktive Zuhören und Beantworten: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119" w:after="0"/>
        <w:ind w:left="838" w:right="1176" w:hanging="360"/>
        <w:jc w:val="left"/>
        <w:rPr>
          <w:sz w:val="22"/>
        </w:rPr>
      </w:pPr>
      <w:r>
        <w:rPr>
          <w:sz w:val="22"/>
        </w:rPr>
        <w:t>Signalisiert</w:t>
      </w:r>
      <w:r>
        <w:rPr>
          <w:spacing w:val="-5"/>
          <w:sz w:val="22"/>
        </w:rPr>
        <w:t> </w:t>
      </w:r>
      <w:r>
        <w:rPr>
          <w:sz w:val="22"/>
        </w:rPr>
        <w:t>(mit</w:t>
      </w:r>
      <w:r>
        <w:rPr>
          <w:spacing w:val="-6"/>
          <w:sz w:val="22"/>
        </w:rPr>
        <w:t> </w:t>
      </w:r>
      <w:r>
        <w:rPr>
          <w:sz w:val="22"/>
        </w:rPr>
        <w:t>verbalen</w:t>
      </w:r>
      <w:r>
        <w:rPr>
          <w:spacing w:val="-5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z w:val="22"/>
        </w:rPr>
        <w:t>nonverbalen</w:t>
      </w:r>
      <w:r>
        <w:rPr>
          <w:spacing w:val="-5"/>
          <w:sz w:val="22"/>
        </w:rPr>
        <w:t> </w:t>
      </w:r>
      <w:r>
        <w:rPr>
          <w:sz w:val="22"/>
        </w:rPr>
        <w:t>Signalen),</w:t>
      </w:r>
      <w:r>
        <w:rPr>
          <w:spacing w:val="-6"/>
          <w:sz w:val="22"/>
        </w:rPr>
        <w:t> </w:t>
      </w:r>
      <w:r>
        <w:rPr>
          <w:sz w:val="22"/>
        </w:rPr>
        <w:t>dass</w:t>
      </w:r>
      <w:r>
        <w:rPr>
          <w:spacing w:val="-5"/>
          <w:sz w:val="22"/>
        </w:rPr>
        <w:t> </w:t>
      </w:r>
      <w:r>
        <w:rPr>
          <w:sz w:val="22"/>
        </w:rPr>
        <w:t>ihr</w:t>
      </w:r>
      <w:r>
        <w:rPr>
          <w:spacing w:val="-5"/>
          <w:sz w:val="22"/>
        </w:rPr>
        <w:t> </w:t>
      </w:r>
      <w:r>
        <w:rPr>
          <w:sz w:val="22"/>
        </w:rPr>
        <w:t>der</w:t>
      </w:r>
      <w:r>
        <w:rPr>
          <w:spacing w:val="-4"/>
          <w:sz w:val="22"/>
        </w:rPr>
        <w:t> </w:t>
      </w:r>
      <w:r>
        <w:rPr>
          <w:sz w:val="22"/>
        </w:rPr>
        <w:t>Sprecherin/dem Sprecher aufmerksam</w:t>
      </w:r>
      <w:r>
        <w:rPr>
          <w:spacing w:val="-2"/>
          <w:sz w:val="22"/>
        </w:rPr>
        <w:t> </w:t>
      </w:r>
      <w:r>
        <w:rPr>
          <w:sz w:val="22"/>
        </w:rPr>
        <w:t>zuhört.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1263" w:hanging="361"/>
        <w:jc w:val="left"/>
        <w:rPr>
          <w:sz w:val="22"/>
        </w:rPr>
      </w:pPr>
      <w:r>
        <w:rPr>
          <w:sz w:val="22"/>
        </w:rPr>
        <w:t>Lasst die Sprecherin/den Sprecher zu Ende sprechen, bevor ihr Fragen stellt oder Meinungen</w:t>
      </w:r>
      <w:r>
        <w:rPr>
          <w:spacing w:val="-2"/>
          <w:sz w:val="22"/>
        </w:rPr>
        <w:t> </w:t>
      </w:r>
      <w:r>
        <w:rPr>
          <w:sz w:val="22"/>
        </w:rPr>
        <w:t>äußert.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2339" w:hanging="361"/>
        <w:jc w:val="left"/>
        <w:rPr>
          <w:sz w:val="22"/>
        </w:rPr>
      </w:pPr>
      <w:r>
        <w:rPr>
          <w:sz w:val="22"/>
        </w:rPr>
        <w:t>Gebt Feedback, indem ihr Fragen stellt oder zusammenfasst, was die Sprecherin/der Sprecher gesagt</w:t>
      </w:r>
      <w:r>
        <w:rPr>
          <w:spacing w:val="-3"/>
          <w:sz w:val="22"/>
        </w:rPr>
        <w:t> </w:t>
      </w:r>
      <w:r>
        <w:rPr>
          <w:sz w:val="22"/>
        </w:rPr>
        <w:t>hat.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Antwortet in angemessener Weise und seid dabei höflich und</w:t>
      </w:r>
      <w:r>
        <w:rPr>
          <w:spacing w:val="-9"/>
          <w:sz w:val="22"/>
        </w:rPr>
        <w:t> </w:t>
      </w:r>
      <w:r>
        <w:rPr>
          <w:sz w:val="22"/>
        </w:rPr>
        <w:t>respektvoll.</w:t>
      </w:r>
    </w:p>
    <w:p>
      <w:pPr>
        <w:pStyle w:val="Heading1"/>
        <w:spacing w:before="119"/>
      </w:pPr>
      <w:r>
        <w:rPr/>
        <w:t>Regeln für ein Klassengespräch:</w:t>
      </w:r>
      <w:r>
        <w:rPr>
          <w:vertAlign w:val="superscript"/>
        </w:rPr>
        <w:t>10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68" w:lineRule="exact" w:before="161" w:after="0"/>
        <w:ind w:left="826" w:right="0" w:hanging="349"/>
        <w:jc w:val="left"/>
        <w:rPr>
          <w:sz w:val="22"/>
        </w:rPr>
      </w:pPr>
      <w:r>
        <w:rPr>
          <w:sz w:val="22"/>
        </w:rPr>
        <w:t>Keiner fragt etwas, das eine bestimmte Antwort provozieren soll</w:t>
      </w:r>
      <w:r>
        <w:rPr>
          <w:spacing w:val="-16"/>
          <w:sz w:val="22"/>
        </w:rPr>
        <w:t> </w:t>
      </w:r>
      <w:r>
        <w:rPr>
          <w:sz w:val="22"/>
        </w:rPr>
        <w:t>(Suggestivfrage).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68" w:lineRule="exact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Jeder soll seine Gedanken möglichst genau</w:t>
      </w:r>
      <w:r>
        <w:rPr>
          <w:spacing w:val="-3"/>
          <w:sz w:val="22"/>
        </w:rPr>
        <w:t> </w:t>
      </w:r>
      <w:r>
        <w:rPr>
          <w:sz w:val="22"/>
        </w:rPr>
        <w:t>formulieren.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2008" w:hanging="360"/>
        <w:jc w:val="left"/>
        <w:rPr>
          <w:sz w:val="22"/>
        </w:rPr>
      </w:pPr>
      <w:r>
        <w:rPr>
          <w:sz w:val="22"/>
        </w:rPr>
        <w:t>Jeder nimmt möglichst konkret auf die Beiträge der anderen Bezug, d. h. insbesondere</w:t>
      </w: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208" w:lineRule="auto" w:before="130" w:after="0"/>
        <w:ind w:left="1110" w:right="1525" w:hanging="284"/>
        <w:jc w:val="left"/>
        <w:rPr>
          <w:sz w:val="22"/>
        </w:rPr>
      </w:pPr>
      <w:r>
        <w:rPr>
          <w:sz w:val="22"/>
        </w:rPr>
        <w:t>macht Äußerungen, die einen klaren Bezug zum Geschehen oder Gesagten haben.</w:t>
      </w: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208" w:lineRule="auto" w:before="126" w:after="0"/>
        <w:ind w:left="1110" w:right="1138" w:hanging="284"/>
        <w:jc w:val="left"/>
        <w:rPr>
          <w:sz w:val="22"/>
        </w:rPr>
      </w:pPr>
      <w:r>
        <w:rPr>
          <w:sz w:val="22"/>
        </w:rPr>
        <w:t>vermeidet Wiederholungen von bereits Gesagtem, es sei denn, ihr wollt darauf aufbauen oder eure eigene Positionen davon</w:t>
      </w:r>
      <w:r>
        <w:rPr>
          <w:spacing w:val="-7"/>
          <w:sz w:val="22"/>
        </w:rPr>
        <w:t> </w:t>
      </w:r>
      <w:r>
        <w:rPr>
          <w:sz w:val="22"/>
        </w:rPr>
        <w:t>abgrenzen.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70.919907pt;margin-top:8.963988pt;width:144pt;height:.1pt;mso-position-horizontal-relative:page;mso-position-vertical-relative:paragraph;z-index:-251655168;mso-wrap-distance-left:0;mso-wrap-distance-right:0" coordorigin="1418,179" coordsize="2880,0" path="m1418,179l4298,179e" filled="false" stroked="true" strokeweight=".7200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0"/>
        </w:rPr>
      </w:pPr>
    </w:p>
    <w:p>
      <w:pPr>
        <w:spacing w:before="66"/>
        <w:ind w:left="313" w:right="246" w:hanging="195"/>
        <w:jc w:val="left"/>
        <w:rPr>
          <w:sz w:val="18"/>
        </w:rPr>
      </w:pPr>
      <w:r>
        <w:rPr>
          <w:position w:val="7"/>
          <w:sz w:val="9"/>
        </w:rPr>
        <w:t>10  </w:t>
      </w:r>
      <w:r>
        <w:rPr>
          <w:sz w:val="18"/>
        </w:rPr>
        <w:t>In Anlehnung an Fröhlich, Ines/ Prediger, Susanne (2008). Sprichst du Mathe? Kommunizieren in und mit Mathematik.    In: </w:t>
      </w:r>
      <w:r>
        <w:rPr>
          <w:i/>
          <w:sz w:val="18"/>
        </w:rPr>
        <w:t>PM: Praxis der Mathematik in der Schule</w:t>
      </w:r>
      <w:r>
        <w:rPr>
          <w:sz w:val="18"/>
        </w:rPr>
        <w:t>, </w:t>
      </w:r>
      <w:r>
        <w:rPr>
          <w:i/>
          <w:sz w:val="18"/>
        </w:rPr>
        <w:t>50</w:t>
      </w:r>
      <w:r>
        <w:rPr>
          <w:sz w:val="18"/>
        </w:rPr>
        <w:t>, (24),</w:t>
      </w:r>
      <w:r>
        <w:rPr>
          <w:spacing w:val="-10"/>
          <w:sz w:val="18"/>
        </w:rPr>
        <w:t> </w:t>
      </w:r>
      <w:r>
        <w:rPr>
          <w:sz w:val="18"/>
        </w:rPr>
        <w:t>1-8.</w:t>
      </w:r>
    </w:p>
    <w:sectPr>
      <w:pgSz w:w="11910" w:h="16840"/>
      <w:pgMar w:header="0" w:footer="685" w:top="520" w:bottom="8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044922pt;margin-top:796.654724pt;width:119.5pt;height:12.05pt;mso-position-horizontal-relative:page;mso-position-vertical-relative:page;z-index:-2517923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7E7E7E"/>
                    <w:sz w:val="20"/>
                  </w:rPr>
                  <w:t>Sprachen – Bilden – Chancen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838" w:hanging="348"/>
      </w:pPr>
      <w:rPr>
        <w:rFonts w:hint="default" w:ascii="Wingdings" w:hAnsi="Wingdings" w:eastAsia="Wingdings" w:cs="Wingdings"/>
        <w:color w:val="7E7E7E"/>
        <w:w w:val="99"/>
        <w:sz w:val="22"/>
        <w:szCs w:val="22"/>
      </w:rPr>
    </w:lvl>
    <w:lvl w:ilvl="1">
      <w:start w:val="0"/>
      <w:numFmt w:val="bullet"/>
      <w:lvlText w:val="o"/>
      <w:lvlJc w:val="left"/>
      <w:pPr>
        <w:ind w:left="1110" w:hanging="284"/>
      </w:pPr>
      <w:rPr>
        <w:rFonts w:hint="default" w:ascii="Courier New" w:hAnsi="Courier New" w:eastAsia="Courier New" w:cs="Courier New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2029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7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6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776" w:hanging="351"/>
      </w:pPr>
      <w:rPr>
        <w:rFonts w:hint="default" w:ascii="Courier New" w:hAnsi="Courier New" w:eastAsia="Courier New" w:cs="Courier New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58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4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2" w:hanging="35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20"/>
      <w:ind w:left="118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38" w:hanging="34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before="56"/>
      <w:ind w:left="5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171295_171295_FreieUniBerlin_Produkt2.pdf</dc:title>
  <dcterms:created xsi:type="dcterms:W3CDTF">2024-07-30T11:28:09Z</dcterms:created>
  <dcterms:modified xsi:type="dcterms:W3CDTF">2024-07-30T11:28:09Z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Prinect Printready</vt:lpwstr>
  </property>
  <property fmtid="{D5CDD505-2E9C-101B-9397-08002B2CF9AE}" pid="4" name="LastSaved">
    <vt:filetime>2024-07-30T00:00:00Z</vt:filetime>
  </property>
</Properties>
</file>