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38230" w14:textId="42C1AB95" w:rsidR="00D77625" w:rsidRDefault="00D77625" w:rsidP="00D77625">
      <w:pPr>
        <w:pStyle w:val="BodyText"/>
        <w:keepNext/>
        <w:adjustRightInd w:val="0"/>
        <w:snapToGrid w:val="0"/>
        <w:spacing w:beforeLines="50" w:before="120"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Free University of Berlin, Spring 2020</w:t>
      </w:r>
    </w:p>
    <w:p w14:paraId="24AC27DA" w14:textId="2FB3A952" w:rsidR="00D77625" w:rsidRDefault="00BA51A7" w:rsidP="00D77625">
      <w:pPr>
        <w:pStyle w:val="BodyText"/>
        <w:keepNext/>
        <w:adjustRightInd w:val="0"/>
        <w:snapToGrid w:val="0"/>
        <w:spacing w:beforeLines="50" w:before="120"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Pre-Qin Confucian Philosophy</w:t>
      </w:r>
    </w:p>
    <w:p w14:paraId="36F255F9" w14:textId="1AE0506B" w:rsidR="00D77625" w:rsidRDefault="00D77625" w:rsidP="00BA51A7">
      <w:pPr>
        <w:pStyle w:val="BodyText"/>
        <w:keepNext/>
        <w:adjustRightInd w:val="0"/>
        <w:snapToGrid w:val="0"/>
        <w:spacing w:beforeLines="50" w:before="120"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Yong Huang, The Chinese University of Hong Kong</w:t>
      </w:r>
    </w:p>
    <w:p w14:paraId="2A79D1D1" w14:textId="1E731A91" w:rsidR="00D77625" w:rsidRDefault="00D77625" w:rsidP="00BA51A7">
      <w:pPr>
        <w:pStyle w:val="BodyText"/>
        <w:keepNext/>
        <w:adjustRightInd w:val="0"/>
        <w:snapToGrid w:val="0"/>
        <w:spacing w:beforeLines="50" w:before="120" w:after="120"/>
        <w:jc w:val="center"/>
        <w:rPr>
          <w:b/>
          <w:sz w:val="20"/>
          <w:szCs w:val="20"/>
        </w:rPr>
      </w:pPr>
    </w:p>
    <w:p w14:paraId="40CEE5C5" w14:textId="3B630566" w:rsidR="00D77625" w:rsidRDefault="00D77625" w:rsidP="00BA51A7">
      <w:pPr>
        <w:pStyle w:val="BodyText"/>
        <w:keepNext/>
        <w:adjustRightInd w:val="0"/>
        <w:snapToGrid w:val="0"/>
        <w:spacing w:beforeLines="50" w:before="120"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Course Syllabus (Tentative)</w:t>
      </w:r>
      <w:bookmarkStart w:id="0" w:name="_GoBack"/>
      <w:bookmarkEnd w:id="0"/>
    </w:p>
    <w:p w14:paraId="6AF83FD3" w14:textId="50B5727E" w:rsidR="00BA51A7" w:rsidRDefault="00BA51A7" w:rsidP="00BA51A7">
      <w:pPr>
        <w:pStyle w:val="BodyText"/>
        <w:keepNext/>
        <w:adjustRightInd w:val="0"/>
        <w:snapToGrid w:val="0"/>
        <w:spacing w:beforeLines="50" w:before="120" w:after="120"/>
        <w:jc w:val="center"/>
        <w:rPr>
          <w:b/>
          <w:sz w:val="20"/>
          <w:szCs w:val="20"/>
        </w:rPr>
      </w:pPr>
    </w:p>
    <w:p w14:paraId="60BB37AF" w14:textId="77DEE153" w:rsidR="00BA51A7" w:rsidRPr="00BA51A7" w:rsidRDefault="00BA51A7" w:rsidP="00BA51A7">
      <w:pPr>
        <w:pStyle w:val="BodyText"/>
        <w:adjustRightInd w:val="0"/>
        <w:snapToGrid w:val="0"/>
        <w:spacing w:beforeLines="50" w:before="120"/>
        <w:rPr>
          <w:b/>
          <w:sz w:val="20"/>
          <w:szCs w:val="20"/>
        </w:rPr>
      </w:pPr>
      <w:r w:rsidRPr="00BA51A7">
        <w:rPr>
          <w:b/>
          <w:sz w:val="20"/>
          <w:szCs w:val="20"/>
        </w:rPr>
        <w:t>Course Description:</w:t>
      </w:r>
    </w:p>
    <w:p w14:paraId="3B1D7718" w14:textId="6ECA44B8" w:rsidR="00BA51A7" w:rsidRDefault="00BA51A7" w:rsidP="00BA51A7">
      <w:pPr>
        <w:pStyle w:val="BodyText"/>
        <w:adjustRightInd w:val="0"/>
        <w:snapToGrid w:val="0"/>
        <w:spacing w:beforeLines="50" w:before="120"/>
        <w:rPr>
          <w:sz w:val="20"/>
          <w:szCs w:val="20"/>
        </w:rPr>
      </w:pPr>
      <w:r>
        <w:rPr>
          <w:sz w:val="20"/>
          <w:szCs w:val="20"/>
        </w:rPr>
        <w:t xml:space="preserve">This course explores Confucian philosophy and its development in the Pre-Qin period by examining such Confucian classics as </w:t>
      </w:r>
      <w:r>
        <w:rPr>
          <w:i/>
          <w:sz w:val="20"/>
          <w:szCs w:val="20"/>
        </w:rPr>
        <w:t>The Analects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The Mencius</w:t>
      </w:r>
      <w:r>
        <w:rPr>
          <w:sz w:val="20"/>
          <w:szCs w:val="20"/>
        </w:rPr>
        <w:t xml:space="preserve">, and </w:t>
      </w:r>
      <w:r>
        <w:rPr>
          <w:i/>
          <w:sz w:val="20"/>
          <w:szCs w:val="20"/>
        </w:rPr>
        <w:t xml:space="preserve">The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sz w:val="20"/>
          <w:szCs w:val="20"/>
        </w:rPr>
        <w:t>. Focus will be on their philosophical significance to the contemporary world</w:t>
      </w:r>
      <w:r>
        <w:rPr>
          <w:sz w:val="20"/>
          <w:szCs w:val="20"/>
        </w:rPr>
        <w:t>, and the approach is comparative, making it more easily accessible to students with background in Western philosophy but no previous exposure to Chinese philosophy.</w:t>
      </w:r>
    </w:p>
    <w:p w14:paraId="4DD5F51D" w14:textId="24293AB8" w:rsidR="00BA51A7" w:rsidRDefault="00BA51A7" w:rsidP="00BA51A7">
      <w:pPr>
        <w:pStyle w:val="BodyText"/>
        <w:adjustRightInd w:val="0"/>
        <w:snapToGrid w:val="0"/>
        <w:spacing w:beforeLines="50" w:before="120"/>
        <w:rPr>
          <w:sz w:val="20"/>
          <w:szCs w:val="20"/>
        </w:rPr>
      </w:pPr>
    </w:p>
    <w:p w14:paraId="5CBE6EDF" w14:textId="39C17524" w:rsidR="00BA51A7" w:rsidRPr="00BA51A7" w:rsidRDefault="00BA51A7" w:rsidP="00BA51A7">
      <w:pPr>
        <w:pStyle w:val="BodyText"/>
        <w:adjustRightInd w:val="0"/>
        <w:snapToGrid w:val="0"/>
        <w:spacing w:beforeLines="50" w:before="120"/>
        <w:rPr>
          <w:b/>
          <w:sz w:val="20"/>
          <w:szCs w:val="20"/>
        </w:rPr>
      </w:pPr>
      <w:r w:rsidRPr="00BA51A7">
        <w:rPr>
          <w:b/>
          <w:sz w:val="20"/>
          <w:szCs w:val="20"/>
        </w:rPr>
        <w:t>Course Requirements:</w:t>
      </w:r>
    </w:p>
    <w:p w14:paraId="4665AB92" w14:textId="77777777" w:rsidR="00BA51A7" w:rsidRDefault="00BA51A7" w:rsidP="00BA51A7">
      <w:pPr>
        <w:pStyle w:val="BodyText"/>
        <w:numPr>
          <w:ilvl w:val="0"/>
          <w:numId w:val="1"/>
        </w:numPr>
        <w:adjustRightInd w:val="0"/>
        <w:snapToGrid w:val="0"/>
        <w:rPr>
          <w:sz w:val="20"/>
          <w:szCs w:val="20"/>
        </w:rPr>
      </w:pPr>
      <w:r>
        <w:rPr>
          <w:sz w:val="20"/>
          <w:szCs w:val="20"/>
        </w:rPr>
        <w:t>Read the assigned readings before the class;</w:t>
      </w:r>
    </w:p>
    <w:p w14:paraId="4573DBFA" w14:textId="77777777" w:rsidR="00BA51A7" w:rsidRDefault="00BA51A7" w:rsidP="00BA51A7">
      <w:pPr>
        <w:pStyle w:val="BodyText"/>
        <w:numPr>
          <w:ilvl w:val="0"/>
          <w:numId w:val="1"/>
        </w:numPr>
        <w:adjustRightInd w:val="0"/>
        <w:snapToGrid w:val="0"/>
        <w:rPr>
          <w:sz w:val="20"/>
          <w:szCs w:val="20"/>
        </w:rPr>
      </w:pPr>
      <w:r>
        <w:rPr>
          <w:sz w:val="20"/>
          <w:szCs w:val="20"/>
        </w:rPr>
        <w:t>Attend the weekly class meeting from the beginning to the end and a</w:t>
      </w:r>
      <w:r w:rsidRPr="007D75E2">
        <w:rPr>
          <w:sz w:val="20"/>
          <w:szCs w:val="20"/>
        </w:rPr>
        <w:t>ctively participate at classroom discussion;</w:t>
      </w:r>
    </w:p>
    <w:p w14:paraId="08CADACB" w14:textId="77777777" w:rsidR="00BA51A7" w:rsidRPr="007D75E2" w:rsidRDefault="00BA51A7" w:rsidP="00BA51A7">
      <w:pPr>
        <w:pStyle w:val="BodyText"/>
        <w:numPr>
          <w:ilvl w:val="0"/>
          <w:numId w:val="1"/>
        </w:numPr>
        <w:adjustRightInd w:val="0"/>
        <w:snapToGrid w:val="0"/>
        <w:rPr>
          <w:sz w:val="20"/>
          <w:szCs w:val="20"/>
        </w:rPr>
      </w:pPr>
      <w:r>
        <w:rPr>
          <w:sz w:val="20"/>
          <w:szCs w:val="20"/>
        </w:rPr>
        <w:t>Attend and actively participate at each of the three discussion sessions and make 2 presentations.</w:t>
      </w:r>
    </w:p>
    <w:p w14:paraId="1E082383" w14:textId="75114092" w:rsidR="00BA51A7" w:rsidRDefault="00BA51A7" w:rsidP="00BA51A7">
      <w:pPr>
        <w:pStyle w:val="BodyText"/>
        <w:adjustRightInd w:val="0"/>
        <w:snapToGrid w:val="0"/>
        <w:spacing w:beforeLines="50" w:before="120"/>
        <w:rPr>
          <w:sz w:val="20"/>
          <w:szCs w:val="20"/>
        </w:rPr>
      </w:pPr>
      <w:r>
        <w:rPr>
          <w:sz w:val="20"/>
          <w:szCs w:val="20"/>
        </w:rPr>
        <w:t xml:space="preserve">Write three papers, on the </w:t>
      </w:r>
      <w:r>
        <w:rPr>
          <w:i/>
          <w:sz w:val="20"/>
          <w:szCs w:val="20"/>
        </w:rPr>
        <w:t>Analects</w:t>
      </w:r>
      <w:r>
        <w:rPr>
          <w:sz w:val="20"/>
          <w:szCs w:val="20"/>
        </w:rPr>
        <w:t xml:space="preserve">, the </w:t>
      </w:r>
      <w:r>
        <w:rPr>
          <w:i/>
          <w:sz w:val="20"/>
          <w:szCs w:val="20"/>
        </w:rPr>
        <w:t xml:space="preserve">Mencius, </w:t>
      </w:r>
      <w:r>
        <w:rPr>
          <w:sz w:val="20"/>
          <w:szCs w:val="20"/>
        </w:rPr>
        <w:t xml:space="preserve">and the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respectively: [a] Each paper should have at least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2000 English words or 3000 Chinese characters; [b] The paper must be on one of the topics discussed in class [papers on topics not discussed in class are not accepted]; [c] it must critically engage at least two assigned secondary readings, in addition to the primary text (mandatory) and secondary literature outside the assigned reading list (optional); [d] the paper may start with a summary of the readings, both primary and secondary, but it must develop/defend something unique of its own; [e] the paper is due one week after the discussion on the text is finished [the paper on the </w:t>
      </w:r>
      <w:r>
        <w:rPr>
          <w:i/>
          <w:sz w:val="20"/>
          <w:szCs w:val="20"/>
        </w:rPr>
        <w:t xml:space="preserve">Analects </w:t>
      </w:r>
      <w:r>
        <w:rPr>
          <w:sz w:val="20"/>
          <w:szCs w:val="20"/>
        </w:rPr>
        <w:t>is due in the class of the 6</w:t>
      </w:r>
      <w:r w:rsidRPr="003B576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week; the paper on the </w:t>
      </w:r>
      <w:r>
        <w:rPr>
          <w:i/>
          <w:sz w:val="20"/>
          <w:szCs w:val="20"/>
        </w:rPr>
        <w:t xml:space="preserve">Mencius </w:t>
      </w:r>
      <w:r>
        <w:rPr>
          <w:sz w:val="20"/>
          <w:szCs w:val="20"/>
        </w:rPr>
        <w:t>is due in the class of the 10</w:t>
      </w:r>
      <w:r w:rsidRPr="00172F8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week; the paper on the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is due to my office/mailbox one week from the last class meeting); Later papers within a week of the deadline are accepted for a discounted grade (for example, an “A” grade will become “A-”, and no papers more than a week later are accepted; (f) the paper can be based on and/or expanded from the presentation.</w:t>
      </w:r>
    </w:p>
    <w:p w14:paraId="31E710E8" w14:textId="08807578" w:rsidR="00BA51A7" w:rsidRDefault="00BA51A7" w:rsidP="00BA51A7">
      <w:pPr>
        <w:pStyle w:val="BodyText"/>
        <w:adjustRightInd w:val="0"/>
        <w:snapToGrid w:val="0"/>
        <w:spacing w:beforeLines="50" w:before="120"/>
        <w:rPr>
          <w:sz w:val="20"/>
          <w:szCs w:val="20"/>
        </w:rPr>
      </w:pPr>
    </w:p>
    <w:p w14:paraId="43272042" w14:textId="38A96957" w:rsidR="00BA51A7" w:rsidRPr="00BA51A7" w:rsidRDefault="00BA51A7" w:rsidP="00BA51A7">
      <w:pPr>
        <w:pStyle w:val="BodyText"/>
        <w:adjustRightInd w:val="0"/>
        <w:snapToGrid w:val="0"/>
        <w:spacing w:beforeLines="50" w:before="120"/>
        <w:rPr>
          <w:b/>
          <w:sz w:val="20"/>
          <w:szCs w:val="20"/>
        </w:rPr>
      </w:pPr>
      <w:r w:rsidRPr="00BA51A7">
        <w:rPr>
          <w:b/>
          <w:sz w:val="20"/>
          <w:szCs w:val="20"/>
        </w:rPr>
        <w:t>Assessment Scheme: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250"/>
        <w:gridCol w:w="1987"/>
      </w:tblGrid>
      <w:tr w:rsidR="00BA51A7" w:rsidRPr="00D96D5D" w14:paraId="0451CC7A" w14:textId="77777777" w:rsidTr="00E41AB3">
        <w:trPr>
          <w:trHeight w:val="340"/>
        </w:trPr>
        <w:tc>
          <w:tcPr>
            <w:tcW w:w="2518" w:type="dxa"/>
            <w:vAlign w:val="center"/>
          </w:tcPr>
          <w:p w14:paraId="07FCCBD3" w14:textId="77777777" w:rsidR="00BA51A7" w:rsidRPr="00D96D5D" w:rsidRDefault="00BA51A7" w:rsidP="00E41AB3">
            <w:pPr>
              <w:adjustRightInd w:val="0"/>
              <w:snapToGrid w:val="0"/>
              <w:jc w:val="both"/>
              <w:rPr>
                <w:i/>
                <w:sz w:val="20"/>
                <w:szCs w:val="20"/>
                <w:lang w:eastAsia="zh-HK"/>
              </w:rPr>
            </w:pPr>
            <w:r>
              <w:rPr>
                <w:b/>
                <w:sz w:val="20"/>
                <w:szCs w:val="20"/>
              </w:rPr>
              <w:t>Items</w:t>
            </w:r>
          </w:p>
        </w:tc>
        <w:tc>
          <w:tcPr>
            <w:tcW w:w="4250" w:type="dxa"/>
            <w:vAlign w:val="center"/>
          </w:tcPr>
          <w:p w14:paraId="082416D4" w14:textId="77777777" w:rsidR="00BA51A7" w:rsidRPr="00D96D5D" w:rsidRDefault="00BA51A7" w:rsidP="00E41AB3">
            <w:pPr>
              <w:adjustRightInd w:val="0"/>
              <w:snapToGrid w:val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Explanation</w:t>
            </w:r>
          </w:p>
        </w:tc>
        <w:tc>
          <w:tcPr>
            <w:tcW w:w="1987" w:type="dxa"/>
            <w:vAlign w:val="center"/>
          </w:tcPr>
          <w:p w14:paraId="6B8C66D4" w14:textId="77777777" w:rsidR="00BA51A7" w:rsidRPr="00D96D5D" w:rsidRDefault="00BA51A7" w:rsidP="00E41AB3">
            <w:pPr>
              <w:adjustRightInd w:val="0"/>
              <w:snapToGrid w:val="0"/>
              <w:ind w:right="-108"/>
              <w:jc w:val="both"/>
              <w:rPr>
                <w:i/>
                <w:sz w:val="20"/>
                <w:szCs w:val="20"/>
                <w:lang w:eastAsia="zh-HK"/>
              </w:rPr>
            </w:pPr>
            <w:r>
              <w:rPr>
                <w:b/>
                <w:sz w:val="20"/>
                <w:szCs w:val="20"/>
              </w:rPr>
              <w:t>Ratio</w:t>
            </w:r>
          </w:p>
        </w:tc>
      </w:tr>
      <w:tr w:rsidR="00BA51A7" w:rsidRPr="008A237C" w14:paraId="04DDE06A" w14:textId="77777777" w:rsidTr="00E41AB3">
        <w:trPr>
          <w:trHeight w:val="340"/>
        </w:trPr>
        <w:tc>
          <w:tcPr>
            <w:tcW w:w="2518" w:type="dxa"/>
            <w:vAlign w:val="center"/>
          </w:tcPr>
          <w:p w14:paraId="511E28BB" w14:textId="3D16AAC0" w:rsidR="00BA51A7" w:rsidRPr="008A237C" w:rsidRDefault="00D77625" w:rsidP="00E41AB3">
            <w:pPr>
              <w:adjustRightInd w:val="0"/>
              <w:snapToGrid w:val="0"/>
              <w:jc w:val="both"/>
              <w:rPr>
                <w:sz w:val="20"/>
                <w:szCs w:val="20"/>
                <w:lang w:eastAsia="zh-HK"/>
              </w:rPr>
            </w:pPr>
            <w:r>
              <w:rPr>
                <w:sz w:val="20"/>
                <w:szCs w:val="20"/>
                <w:lang w:eastAsia="zh-HK"/>
              </w:rPr>
              <w:t>One</w:t>
            </w:r>
            <w:r w:rsidR="00BA51A7">
              <w:rPr>
                <w:sz w:val="20"/>
                <w:szCs w:val="20"/>
                <w:lang w:eastAsia="zh-HK"/>
              </w:rPr>
              <w:t xml:space="preserve"> Presentations</w:t>
            </w:r>
          </w:p>
        </w:tc>
        <w:tc>
          <w:tcPr>
            <w:tcW w:w="4250" w:type="dxa"/>
            <w:vAlign w:val="center"/>
          </w:tcPr>
          <w:p w14:paraId="0D0D618F" w14:textId="77777777" w:rsidR="00BA51A7" w:rsidRPr="008A237C" w:rsidRDefault="00BA51A7" w:rsidP="00E41AB3">
            <w:pPr>
              <w:adjustRightInd w:val="0"/>
              <w:snapToGrid w:val="0"/>
              <w:rPr>
                <w:sz w:val="20"/>
                <w:szCs w:val="20"/>
                <w:lang w:eastAsia="zh-HK"/>
              </w:rPr>
            </w:pPr>
          </w:p>
        </w:tc>
        <w:tc>
          <w:tcPr>
            <w:tcW w:w="1987" w:type="dxa"/>
            <w:vAlign w:val="center"/>
          </w:tcPr>
          <w:p w14:paraId="55645356" w14:textId="77777777" w:rsidR="00BA51A7" w:rsidRPr="008A237C" w:rsidRDefault="00BA51A7" w:rsidP="00E41AB3">
            <w:pPr>
              <w:adjustRightInd w:val="0"/>
              <w:snapToGrid w:val="0"/>
              <w:rPr>
                <w:sz w:val="20"/>
                <w:szCs w:val="20"/>
                <w:lang w:eastAsia="zh-HK"/>
              </w:rPr>
            </w:pPr>
            <w:r>
              <w:rPr>
                <w:sz w:val="20"/>
                <w:szCs w:val="20"/>
                <w:lang w:eastAsia="zh-HK"/>
              </w:rPr>
              <w:t>15%</w:t>
            </w:r>
          </w:p>
        </w:tc>
      </w:tr>
      <w:tr w:rsidR="00BA51A7" w:rsidRPr="008A237C" w14:paraId="2096BDD7" w14:textId="77777777" w:rsidTr="00E41AB3">
        <w:trPr>
          <w:trHeight w:val="340"/>
        </w:trPr>
        <w:tc>
          <w:tcPr>
            <w:tcW w:w="2518" w:type="dxa"/>
            <w:vAlign w:val="center"/>
          </w:tcPr>
          <w:p w14:paraId="4EF6F1A3" w14:textId="77777777" w:rsidR="00BA51A7" w:rsidRPr="008A237C" w:rsidRDefault="00BA51A7" w:rsidP="00E41AB3">
            <w:pPr>
              <w:adjustRightInd w:val="0"/>
              <w:snapToGrid w:val="0"/>
              <w:jc w:val="both"/>
              <w:rPr>
                <w:sz w:val="20"/>
                <w:szCs w:val="20"/>
                <w:lang w:eastAsia="zh-HK"/>
              </w:rPr>
            </w:pPr>
            <w:r>
              <w:rPr>
                <w:sz w:val="20"/>
                <w:szCs w:val="20"/>
                <w:lang w:eastAsia="zh-HK"/>
              </w:rPr>
              <w:t>Three papers</w:t>
            </w:r>
          </w:p>
        </w:tc>
        <w:tc>
          <w:tcPr>
            <w:tcW w:w="4250" w:type="dxa"/>
            <w:vAlign w:val="center"/>
          </w:tcPr>
          <w:p w14:paraId="72A0DDB8" w14:textId="77777777" w:rsidR="00BA51A7" w:rsidRPr="008A237C" w:rsidRDefault="00BA51A7" w:rsidP="00E41AB3">
            <w:pPr>
              <w:adjustRightInd w:val="0"/>
              <w:snapToGrid w:val="0"/>
              <w:jc w:val="both"/>
              <w:rPr>
                <w:sz w:val="20"/>
                <w:szCs w:val="20"/>
                <w:lang w:eastAsia="zh-HK"/>
              </w:rPr>
            </w:pPr>
          </w:p>
        </w:tc>
        <w:tc>
          <w:tcPr>
            <w:tcW w:w="1987" w:type="dxa"/>
            <w:vAlign w:val="center"/>
          </w:tcPr>
          <w:p w14:paraId="2066BE14" w14:textId="77777777" w:rsidR="00BA51A7" w:rsidRPr="008A237C" w:rsidRDefault="00BA51A7" w:rsidP="00E41AB3">
            <w:pPr>
              <w:adjustRightInd w:val="0"/>
              <w:snapToGrid w:val="0"/>
              <w:rPr>
                <w:sz w:val="20"/>
                <w:szCs w:val="20"/>
                <w:lang w:eastAsia="zh-HK"/>
              </w:rPr>
            </w:pPr>
            <w:r>
              <w:rPr>
                <w:sz w:val="20"/>
                <w:szCs w:val="20"/>
                <w:lang w:eastAsia="zh-HK"/>
              </w:rPr>
              <w:t xml:space="preserve">70 % </w:t>
            </w:r>
          </w:p>
        </w:tc>
      </w:tr>
      <w:tr w:rsidR="00BA51A7" w:rsidRPr="008A237C" w14:paraId="692EC8E8" w14:textId="77777777" w:rsidTr="00E41AB3">
        <w:trPr>
          <w:trHeight w:val="340"/>
        </w:trPr>
        <w:tc>
          <w:tcPr>
            <w:tcW w:w="2518" w:type="dxa"/>
            <w:vAlign w:val="center"/>
          </w:tcPr>
          <w:p w14:paraId="51FD99E6" w14:textId="77777777" w:rsidR="00BA51A7" w:rsidRPr="008A237C" w:rsidRDefault="00BA51A7" w:rsidP="00E41AB3">
            <w:pPr>
              <w:adjustRightInd w:val="0"/>
              <w:snapToGrid w:val="0"/>
              <w:rPr>
                <w:sz w:val="20"/>
                <w:szCs w:val="20"/>
                <w:lang w:eastAsia="zh-HK"/>
              </w:rPr>
            </w:pPr>
            <w:r>
              <w:rPr>
                <w:sz w:val="20"/>
                <w:szCs w:val="20"/>
                <w:lang w:eastAsia="zh-HK"/>
              </w:rPr>
              <w:t>Preparation for and Participation at class discussion</w:t>
            </w:r>
          </w:p>
        </w:tc>
        <w:tc>
          <w:tcPr>
            <w:tcW w:w="4250" w:type="dxa"/>
            <w:vAlign w:val="center"/>
          </w:tcPr>
          <w:p w14:paraId="0906009F" w14:textId="77777777" w:rsidR="00BA51A7" w:rsidRPr="008A237C" w:rsidRDefault="00BA51A7" w:rsidP="00E41AB3">
            <w:pPr>
              <w:adjustRightInd w:val="0"/>
              <w:snapToGrid w:val="0"/>
              <w:jc w:val="both"/>
              <w:rPr>
                <w:sz w:val="20"/>
                <w:szCs w:val="20"/>
                <w:lang w:eastAsia="zh-HK"/>
              </w:rPr>
            </w:pPr>
          </w:p>
        </w:tc>
        <w:tc>
          <w:tcPr>
            <w:tcW w:w="1987" w:type="dxa"/>
            <w:vAlign w:val="center"/>
          </w:tcPr>
          <w:p w14:paraId="46529519" w14:textId="77777777" w:rsidR="00BA51A7" w:rsidRPr="008A237C" w:rsidRDefault="00BA51A7" w:rsidP="00E41AB3">
            <w:pPr>
              <w:adjustRightInd w:val="0"/>
              <w:snapToGrid w:val="0"/>
              <w:rPr>
                <w:sz w:val="20"/>
                <w:szCs w:val="20"/>
                <w:lang w:eastAsia="zh-HK"/>
              </w:rPr>
            </w:pPr>
            <w:r>
              <w:rPr>
                <w:sz w:val="20"/>
                <w:szCs w:val="20"/>
                <w:lang w:eastAsia="zh-HK"/>
              </w:rPr>
              <w:t xml:space="preserve">15% </w:t>
            </w:r>
          </w:p>
        </w:tc>
      </w:tr>
    </w:tbl>
    <w:p w14:paraId="563AF5F0" w14:textId="77777777" w:rsidR="00BA51A7" w:rsidRPr="005407ED" w:rsidRDefault="00BA51A7" w:rsidP="00BA51A7">
      <w:pPr>
        <w:pStyle w:val="BodyText"/>
        <w:adjustRightInd w:val="0"/>
        <w:snapToGrid w:val="0"/>
        <w:spacing w:beforeLines="50" w:before="120"/>
        <w:rPr>
          <w:sz w:val="20"/>
          <w:szCs w:val="20"/>
        </w:rPr>
      </w:pPr>
    </w:p>
    <w:p w14:paraId="5BF63AE4" w14:textId="105B3267" w:rsidR="00BA51A7" w:rsidRPr="00A54869" w:rsidRDefault="00D77625" w:rsidP="00BA51A7">
      <w:pPr>
        <w:pStyle w:val="BodyText"/>
        <w:keepNext/>
        <w:adjustRightInd w:val="0"/>
        <w:snapToGrid w:val="0"/>
        <w:spacing w:beforeLines="50" w:before="120" w:after="12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Course Schedule (Tentative):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3060"/>
        <w:gridCol w:w="2520"/>
        <w:gridCol w:w="990"/>
        <w:gridCol w:w="990"/>
      </w:tblGrid>
      <w:tr w:rsidR="00BA51A7" w:rsidRPr="00502AA8" w14:paraId="344D88FE" w14:textId="77777777" w:rsidTr="00E41AB3">
        <w:tc>
          <w:tcPr>
            <w:tcW w:w="1188" w:type="dxa"/>
          </w:tcPr>
          <w:p w14:paraId="1C6EF2A2" w14:textId="77777777" w:rsidR="00BA51A7" w:rsidRPr="00C96A4E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3060" w:type="dxa"/>
          </w:tcPr>
          <w:p w14:paraId="675F03F2" w14:textId="77777777" w:rsidR="00BA51A7" w:rsidRPr="00682F14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2520" w:type="dxa"/>
          </w:tcPr>
          <w:p w14:paraId="4327459D" w14:textId="77777777" w:rsidR="00BA51A7" w:rsidRPr="00C96A4E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Readings</w:t>
            </w:r>
          </w:p>
        </w:tc>
        <w:tc>
          <w:tcPr>
            <w:tcW w:w="990" w:type="dxa"/>
          </w:tcPr>
          <w:p w14:paraId="54A664B0" w14:textId="77777777" w:rsidR="00BA51A7" w:rsidRPr="00C96A4E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Tutorial</w:t>
            </w:r>
          </w:p>
        </w:tc>
        <w:tc>
          <w:tcPr>
            <w:tcW w:w="990" w:type="dxa"/>
          </w:tcPr>
          <w:p w14:paraId="0E7186D0" w14:textId="77777777" w:rsidR="00BA51A7" w:rsidRPr="00C96A4E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BA51A7" w:rsidRPr="008A237C" w14:paraId="4ACAC545" w14:textId="77777777" w:rsidTr="00E41AB3">
        <w:tc>
          <w:tcPr>
            <w:tcW w:w="1188" w:type="dxa"/>
          </w:tcPr>
          <w:p w14:paraId="1D8D514A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  <w:p w14:paraId="517455A1" w14:textId="6DA1D210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7705E1D8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Introduction: Pre-Confucius Confucianism, Confucianism in Pre-Qin Philosophy, the later development of Confucianism</w:t>
            </w:r>
          </w:p>
        </w:tc>
        <w:tc>
          <w:tcPr>
            <w:tcW w:w="2520" w:type="dxa"/>
          </w:tcPr>
          <w:p w14:paraId="37B60BF0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F4C263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ind w:left="32" w:hanging="32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1D245C1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</w:tr>
      <w:tr w:rsidR="00BA51A7" w:rsidRPr="008A237C" w14:paraId="6E29FB96" w14:textId="77777777" w:rsidTr="00E41AB3">
        <w:tc>
          <w:tcPr>
            <w:tcW w:w="1188" w:type="dxa"/>
          </w:tcPr>
          <w:p w14:paraId="5FFEBED5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AEBD841" w14:textId="74049018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54D41E83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Pr="002E51C0">
              <w:rPr>
                <w:i/>
                <w:sz w:val="20"/>
                <w:szCs w:val="20"/>
              </w:rPr>
              <w:t>Analects</w:t>
            </w:r>
            <w:r>
              <w:rPr>
                <w:sz w:val="20"/>
                <w:szCs w:val="20"/>
              </w:rPr>
              <w:t xml:space="preserve"> I</w:t>
            </w:r>
          </w:p>
          <w:p w14:paraId="68A36CD1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Ought we turn the other cheek or not?</w:t>
            </w:r>
          </w:p>
        </w:tc>
        <w:tc>
          <w:tcPr>
            <w:tcW w:w="2520" w:type="dxa"/>
          </w:tcPr>
          <w:p w14:paraId="609276F9" w14:textId="77777777" w:rsidR="00BA51A7" w:rsidRPr="00C01C83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i/>
                <w:sz w:val="20"/>
                <w:szCs w:val="20"/>
              </w:rPr>
            </w:pPr>
            <w:r w:rsidRPr="00C01C83">
              <w:rPr>
                <w:i/>
                <w:sz w:val="20"/>
                <w:szCs w:val="20"/>
              </w:rPr>
              <w:t>Analects</w:t>
            </w:r>
            <w:r>
              <w:rPr>
                <w:sz w:val="20"/>
                <w:szCs w:val="20"/>
              </w:rPr>
              <w:t xml:space="preserve">; </w:t>
            </w:r>
            <w:r w:rsidRPr="00C01C83">
              <w:rPr>
                <w:sz w:val="20"/>
                <w:szCs w:val="20"/>
              </w:rPr>
              <w:t>Huang</w:t>
            </w:r>
            <w:r>
              <w:rPr>
                <w:sz w:val="20"/>
                <w:szCs w:val="20"/>
              </w:rPr>
              <w:t xml:space="preserve"> 2013: </w:t>
            </w:r>
            <w:proofErr w:type="spellStart"/>
            <w:r>
              <w:rPr>
                <w:sz w:val="20"/>
                <w:szCs w:val="20"/>
              </w:rPr>
              <w:t>ch.</w:t>
            </w:r>
            <w:proofErr w:type="spellEnd"/>
            <w:r>
              <w:rPr>
                <w:sz w:val="20"/>
                <w:szCs w:val="20"/>
              </w:rPr>
              <w:t xml:space="preserve"> 2; [</w:t>
            </w:r>
            <w:proofErr w:type="spellStart"/>
            <w:r>
              <w:rPr>
                <w:sz w:val="20"/>
                <w:szCs w:val="20"/>
              </w:rPr>
              <w:t>Cua</w:t>
            </w:r>
            <w:proofErr w:type="spellEnd"/>
            <w:r>
              <w:rPr>
                <w:sz w:val="20"/>
                <w:szCs w:val="20"/>
              </w:rPr>
              <w:t xml:space="preserve"> 1977; Ivanhoe 1990; Van Norden 2002a; </w:t>
            </w:r>
            <w:proofErr w:type="spellStart"/>
            <w:r>
              <w:rPr>
                <w:sz w:val="20"/>
                <w:szCs w:val="20"/>
              </w:rPr>
              <w:t>Olberding</w:t>
            </w:r>
            <w:proofErr w:type="spellEnd"/>
            <w:r>
              <w:rPr>
                <w:sz w:val="20"/>
                <w:szCs w:val="20"/>
              </w:rPr>
              <w:t xml:space="preserve"> 2012: </w:t>
            </w:r>
            <w:proofErr w:type="spellStart"/>
            <w:r>
              <w:rPr>
                <w:sz w:val="20"/>
                <w:szCs w:val="20"/>
              </w:rPr>
              <w:t>ch.</w:t>
            </w:r>
            <w:proofErr w:type="spellEnd"/>
            <w:r>
              <w:rPr>
                <w:sz w:val="20"/>
                <w:szCs w:val="20"/>
              </w:rPr>
              <w:t xml:space="preserve"> 4; </w:t>
            </w:r>
            <w:proofErr w:type="spellStart"/>
            <w:r>
              <w:rPr>
                <w:sz w:val="20"/>
                <w:szCs w:val="20"/>
              </w:rPr>
              <w:t>Raphals</w:t>
            </w:r>
            <w:proofErr w:type="spellEnd"/>
            <w:r>
              <w:rPr>
                <w:sz w:val="20"/>
                <w:szCs w:val="20"/>
              </w:rPr>
              <w:t xml:space="preserve"> 2014]</w:t>
            </w:r>
          </w:p>
        </w:tc>
        <w:tc>
          <w:tcPr>
            <w:tcW w:w="990" w:type="dxa"/>
          </w:tcPr>
          <w:p w14:paraId="6DEB219F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075B191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</w:tr>
      <w:tr w:rsidR="00BA51A7" w:rsidRPr="008A237C" w14:paraId="23C6AAC2" w14:textId="77777777" w:rsidTr="00E41AB3">
        <w:tc>
          <w:tcPr>
            <w:tcW w:w="1188" w:type="dxa"/>
          </w:tcPr>
          <w:p w14:paraId="5BA5A9B1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14:paraId="2F001381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30F9061E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5C6C86F6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Pr="002E51C0">
              <w:rPr>
                <w:i/>
                <w:sz w:val="20"/>
                <w:szCs w:val="20"/>
              </w:rPr>
              <w:t>Analects</w:t>
            </w:r>
            <w:r>
              <w:rPr>
                <w:sz w:val="20"/>
                <w:szCs w:val="20"/>
              </w:rPr>
              <w:t xml:space="preserve"> II</w:t>
            </w:r>
          </w:p>
          <w:p w14:paraId="4A8271F2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Be Virtuous?</w:t>
            </w:r>
          </w:p>
          <w:p w14:paraId="095A1DF2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  <w:p w14:paraId="613B75E6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  <w:p w14:paraId="4126E01B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B7046B3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 w:rsidRPr="00C01C83">
              <w:rPr>
                <w:i/>
                <w:sz w:val="20"/>
                <w:szCs w:val="20"/>
              </w:rPr>
              <w:t>Analects</w:t>
            </w:r>
            <w:r>
              <w:rPr>
                <w:sz w:val="20"/>
                <w:szCs w:val="20"/>
              </w:rPr>
              <w:t xml:space="preserve">; Huang 2013: </w:t>
            </w:r>
            <w:proofErr w:type="spellStart"/>
            <w:r>
              <w:rPr>
                <w:sz w:val="20"/>
                <w:szCs w:val="20"/>
              </w:rPr>
              <w:t>ch.</w:t>
            </w:r>
            <w:proofErr w:type="spellEnd"/>
            <w:r>
              <w:rPr>
                <w:sz w:val="20"/>
                <w:szCs w:val="20"/>
              </w:rPr>
              <w:t xml:space="preserve"> 3; [Chong 1998; </w:t>
            </w:r>
            <w:proofErr w:type="spellStart"/>
            <w:r>
              <w:rPr>
                <w:sz w:val="20"/>
                <w:szCs w:val="20"/>
              </w:rPr>
              <w:t>Olberding 2013; Tu</w:t>
            </w:r>
            <w:proofErr w:type="spellEnd"/>
            <w:r>
              <w:rPr>
                <w:sz w:val="20"/>
                <w:szCs w:val="20"/>
              </w:rPr>
              <w:t xml:space="preserve"> 1987; Van Norden 2007: </w:t>
            </w:r>
            <w:proofErr w:type="spellStart"/>
            <w:r>
              <w:rPr>
                <w:sz w:val="20"/>
                <w:szCs w:val="20"/>
              </w:rPr>
              <w:t>ch.</w:t>
            </w:r>
            <w:proofErr w:type="spellEnd"/>
            <w:r>
              <w:rPr>
                <w:sz w:val="20"/>
                <w:szCs w:val="20"/>
              </w:rPr>
              <w:t xml:space="preserve"> 2; Wilson 2002; Yu 2007: </w:t>
            </w:r>
            <w:proofErr w:type="spellStart"/>
            <w:r>
              <w:rPr>
                <w:sz w:val="20"/>
                <w:szCs w:val="20"/>
              </w:rPr>
              <w:t>chs</w:t>
            </w:r>
            <w:proofErr w:type="spellEnd"/>
            <w:r>
              <w:rPr>
                <w:sz w:val="20"/>
                <w:szCs w:val="20"/>
              </w:rPr>
              <w:t>. 1 &amp; 2]</w:t>
            </w:r>
          </w:p>
        </w:tc>
        <w:tc>
          <w:tcPr>
            <w:tcW w:w="990" w:type="dxa"/>
          </w:tcPr>
          <w:p w14:paraId="6D55012A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ind w:left="32" w:hanging="32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11A94AD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</w:tr>
      <w:tr w:rsidR="00BA51A7" w:rsidRPr="008A237C" w14:paraId="5B8CAF7F" w14:textId="77777777" w:rsidTr="00E41AB3">
        <w:tc>
          <w:tcPr>
            <w:tcW w:w="1188" w:type="dxa"/>
          </w:tcPr>
          <w:p w14:paraId="17919C56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653F1B7" w14:textId="77777777" w:rsidR="00BA51A7" w:rsidRPr="008A237C" w:rsidRDefault="00BA51A7" w:rsidP="00BA51A7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7D6CBA84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Pr="002E51C0">
              <w:rPr>
                <w:i/>
                <w:sz w:val="20"/>
                <w:szCs w:val="20"/>
              </w:rPr>
              <w:t>Analects</w:t>
            </w:r>
            <w:r>
              <w:rPr>
                <w:sz w:val="20"/>
                <w:szCs w:val="20"/>
              </w:rPr>
              <w:t xml:space="preserve"> IV</w:t>
            </w:r>
          </w:p>
          <w:p w14:paraId="4F3C4D44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Filial Piety: When your parents commit wrongdoing</w:t>
            </w:r>
          </w:p>
          <w:p w14:paraId="576D1885" w14:textId="77777777" w:rsidR="00BA51A7" w:rsidRPr="002E51C0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F5298F6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 w:rsidRPr="00C01C83">
              <w:rPr>
                <w:i/>
                <w:sz w:val="20"/>
                <w:szCs w:val="20"/>
              </w:rPr>
              <w:t>Analects</w:t>
            </w:r>
            <w:r>
              <w:rPr>
                <w:sz w:val="20"/>
                <w:szCs w:val="20"/>
              </w:rPr>
              <w:t xml:space="preserve">; Huang 2013: </w:t>
            </w:r>
            <w:proofErr w:type="spellStart"/>
            <w:r>
              <w:rPr>
                <w:sz w:val="20"/>
                <w:szCs w:val="20"/>
              </w:rPr>
              <w:t>ch.</w:t>
            </w:r>
            <w:proofErr w:type="spellEnd"/>
            <w:r>
              <w:rPr>
                <w:sz w:val="20"/>
                <w:szCs w:val="20"/>
              </w:rPr>
              <w:t xml:space="preserve"> 5; Huang 2015; [</w:t>
            </w:r>
            <w:r>
              <w:rPr>
                <w:rFonts w:hint="eastAsia"/>
                <w:sz w:val="20"/>
                <w:szCs w:val="20"/>
              </w:rPr>
              <w:t>郭</w:t>
            </w:r>
            <w:r>
              <w:rPr>
                <w:rFonts w:hint="eastAsia"/>
                <w:sz w:val="20"/>
                <w:szCs w:val="20"/>
              </w:rPr>
              <w:t xml:space="preserve"> 2004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鄧</w:t>
            </w:r>
            <w:r>
              <w:rPr>
                <w:rFonts w:hint="eastAsia"/>
                <w:sz w:val="20"/>
                <w:szCs w:val="20"/>
              </w:rPr>
              <w:t xml:space="preserve"> 2010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郭</w:t>
            </w:r>
            <w:r>
              <w:rPr>
                <w:rFonts w:hint="eastAsia"/>
                <w:sz w:val="20"/>
                <w:szCs w:val="20"/>
              </w:rPr>
              <w:t xml:space="preserve"> 2011</w:t>
            </w:r>
            <w:r>
              <w:rPr>
                <w:rFonts w:hint="eastAsia"/>
                <w:sz w:val="20"/>
                <w:szCs w:val="20"/>
              </w:rPr>
              <w:t>；郭和肖</w:t>
            </w:r>
            <w:r>
              <w:rPr>
                <w:rFonts w:hint="eastAsia"/>
                <w:sz w:val="20"/>
                <w:szCs w:val="20"/>
              </w:rPr>
              <w:t>2014</w:t>
            </w:r>
            <w:r>
              <w:rPr>
                <w:rFonts w:hint="eastAsia"/>
                <w:sz w:val="20"/>
                <w:szCs w:val="20"/>
              </w:rPr>
              <w:t>；梁</w:t>
            </w: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廖</w:t>
            </w: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，張和郭</w:t>
            </w: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990" w:type="dxa"/>
          </w:tcPr>
          <w:p w14:paraId="6EC2C565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ind w:left="32" w:hanging="32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11B9E17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</w:tr>
      <w:tr w:rsidR="00BA51A7" w:rsidRPr="008A237C" w14:paraId="433E8C42" w14:textId="77777777" w:rsidTr="00E41AB3">
        <w:tc>
          <w:tcPr>
            <w:tcW w:w="1188" w:type="dxa"/>
          </w:tcPr>
          <w:p w14:paraId="3F357E7E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4B9E7F47" w14:textId="77777777" w:rsidR="00BA51A7" w:rsidRPr="008A237C" w:rsidRDefault="00BA51A7" w:rsidP="00BA51A7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1A859E3D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  <w:p w14:paraId="131453AB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Session 1: Confucius</w:t>
            </w:r>
          </w:p>
        </w:tc>
        <w:tc>
          <w:tcPr>
            <w:tcW w:w="2520" w:type="dxa"/>
          </w:tcPr>
          <w:p w14:paraId="0DDA81DE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2B4E4B6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ind w:left="32" w:hanging="32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0B6E366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</w:tr>
      <w:tr w:rsidR="00BA51A7" w:rsidRPr="008A237C" w14:paraId="4FC8548D" w14:textId="77777777" w:rsidTr="00E41AB3">
        <w:tc>
          <w:tcPr>
            <w:tcW w:w="1188" w:type="dxa"/>
          </w:tcPr>
          <w:p w14:paraId="51978F66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4A1F202B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2721F880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5D470909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09328380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first Paper Due</w:t>
            </w:r>
          </w:p>
        </w:tc>
        <w:tc>
          <w:tcPr>
            <w:tcW w:w="3060" w:type="dxa"/>
          </w:tcPr>
          <w:p w14:paraId="71EB882F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Pr="002E51C0">
              <w:rPr>
                <w:i/>
                <w:sz w:val="20"/>
                <w:szCs w:val="20"/>
              </w:rPr>
              <w:t>Mencius</w:t>
            </w:r>
            <w:r>
              <w:rPr>
                <w:sz w:val="20"/>
                <w:szCs w:val="20"/>
              </w:rPr>
              <w:t xml:space="preserve"> I:</w:t>
            </w:r>
          </w:p>
          <w:p w14:paraId="73D4663C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Nature and the Origin of Evil</w:t>
            </w:r>
          </w:p>
        </w:tc>
        <w:tc>
          <w:tcPr>
            <w:tcW w:w="2520" w:type="dxa"/>
          </w:tcPr>
          <w:p w14:paraId="3663130B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The Mencius </w:t>
            </w:r>
            <w:r>
              <w:rPr>
                <w:sz w:val="20"/>
                <w:szCs w:val="20"/>
              </w:rPr>
              <w:t xml:space="preserve">2a6, 6a1-3, 6a6-8, 7a15, 7b16; [Ames 1999; Ames 2002; </w:t>
            </w:r>
            <w:proofErr w:type="spellStart"/>
            <w:r>
              <w:rPr>
                <w:sz w:val="20"/>
                <w:szCs w:val="20"/>
              </w:rPr>
              <w:t>Behuniak</w:t>
            </w:r>
            <w:proofErr w:type="spellEnd"/>
            <w:r>
              <w:rPr>
                <w:sz w:val="20"/>
                <w:szCs w:val="20"/>
              </w:rPr>
              <w:t xml:space="preserve"> 2005: ch.4; Bloom 2002, Graham 2002, Shun 1997: </w:t>
            </w:r>
            <w:proofErr w:type="spellStart"/>
            <w:r>
              <w:rPr>
                <w:sz w:val="20"/>
                <w:szCs w:val="20"/>
              </w:rPr>
              <w:t>ch.</w:t>
            </w:r>
            <w:proofErr w:type="spellEnd"/>
            <w:r>
              <w:rPr>
                <w:sz w:val="20"/>
                <w:szCs w:val="20"/>
              </w:rPr>
              <w:t xml:space="preserve"> 5.]</w:t>
            </w:r>
          </w:p>
        </w:tc>
        <w:tc>
          <w:tcPr>
            <w:tcW w:w="990" w:type="dxa"/>
          </w:tcPr>
          <w:p w14:paraId="11DE6198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ind w:left="32" w:hanging="32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B52BA78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</w:tr>
      <w:tr w:rsidR="00BA51A7" w:rsidRPr="008A237C" w14:paraId="47881786" w14:textId="77777777" w:rsidTr="00E41AB3">
        <w:tc>
          <w:tcPr>
            <w:tcW w:w="1188" w:type="dxa"/>
          </w:tcPr>
          <w:p w14:paraId="53607F96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14:paraId="2B4405AC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6B9A6854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1DA15E59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52AD2B50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586371A1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7A0B17F5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Pr="002E51C0">
              <w:rPr>
                <w:i/>
                <w:sz w:val="20"/>
                <w:szCs w:val="20"/>
              </w:rPr>
              <w:t>Mencius</w:t>
            </w:r>
            <w:r>
              <w:rPr>
                <w:sz w:val="20"/>
                <w:szCs w:val="20"/>
              </w:rPr>
              <w:t xml:space="preserve"> II:</w:t>
            </w:r>
          </w:p>
          <w:p w14:paraId="16A3167B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Moral Reason and Motivation: </w:t>
            </w:r>
          </w:p>
          <w:p w14:paraId="09A2258F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  <w:p w14:paraId="2C878D42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  <w:p w14:paraId="6742DA31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  <w:p w14:paraId="0AB97301" w14:textId="77777777" w:rsidR="00BA51A7" w:rsidRDefault="00BA51A7" w:rsidP="00E41AB3"/>
          <w:p w14:paraId="077DA1BE" w14:textId="77777777" w:rsidR="00BA51A7" w:rsidRPr="00FF46E8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</w:pPr>
          </w:p>
        </w:tc>
        <w:tc>
          <w:tcPr>
            <w:tcW w:w="2520" w:type="dxa"/>
          </w:tcPr>
          <w:p w14:paraId="79B2A839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The Mencius </w:t>
            </w:r>
            <w:r>
              <w:rPr>
                <w:sz w:val="20"/>
                <w:szCs w:val="20"/>
              </w:rPr>
              <w:t xml:space="preserve">1a3, 1a7, 2a6, 2b3, 4b26, 6a9, 7b31; Wong 1991; Wong 1991a; Wong 2002; Ihara 1991, Kim 2014; [Chong 2007: </w:t>
            </w:r>
            <w:proofErr w:type="spellStart"/>
            <w:r>
              <w:rPr>
                <w:sz w:val="20"/>
                <w:szCs w:val="20"/>
              </w:rPr>
              <w:t>ch.</w:t>
            </w:r>
            <w:proofErr w:type="spellEnd"/>
            <w:r>
              <w:rPr>
                <w:sz w:val="20"/>
                <w:szCs w:val="20"/>
              </w:rPr>
              <w:t xml:space="preserve"> 4; McRae 2011; </w:t>
            </w:r>
            <w:proofErr w:type="spellStart"/>
            <w:r>
              <w:rPr>
                <w:sz w:val="20"/>
                <w:szCs w:val="20"/>
              </w:rPr>
              <w:t>Cua</w:t>
            </w:r>
            <w:proofErr w:type="spellEnd"/>
            <w:r>
              <w:rPr>
                <w:sz w:val="20"/>
                <w:szCs w:val="20"/>
              </w:rPr>
              <w:t xml:space="preserve"> 2005: </w:t>
            </w:r>
            <w:proofErr w:type="spellStart"/>
            <w:r>
              <w:rPr>
                <w:sz w:val="20"/>
                <w:szCs w:val="20"/>
              </w:rPr>
              <w:t>ch.</w:t>
            </w:r>
            <w:proofErr w:type="spellEnd"/>
            <w:r>
              <w:rPr>
                <w:sz w:val="20"/>
                <w:szCs w:val="20"/>
              </w:rPr>
              <w:t xml:space="preserve"> 15; Shun 1989; Van Norden 1991; </w:t>
            </w:r>
            <w:proofErr w:type="spellStart"/>
            <w:r>
              <w:rPr>
                <w:sz w:val="20"/>
                <w:szCs w:val="20"/>
              </w:rPr>
              <w:t>Im</w:t>
            </w:r>
            <w:proofErr w:type="spellEnd"/>
            <w:r>
              <w:rPr>
                <w:sz w:val="20"/>
                <w:szCs w:val="20"/>
              </w:rPr>
              <w:t xml:space="preserve"> 1999; Ivanhoe 2002;]</w:t>
            </w:r>
          </w:p>
        </w:tc>
        <w:tc>
          <w:tcPr>
            <w:tcW w:w="990" w:type="dxa"/>
          </w:tcPr>
          <w:p w14:paraId="55EC875F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ind w:left="32" w:hanging="32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E121A4E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</w:tr>
      <w:tr w:rsidR="00BA51A7" w:rsidRPr="008A237C" w14:paraId="026F0470" w14:textId="77777777" w:rsidTr="00E41AB3">
        <w:tc>
          <w:tcPr>
            <w:tcW w:w="1188" w:type="dxa"/>
          </w:tcPr>
          <w:p w14:paraId="4AFB4CD1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25BEBF4D" w14:textId="6E18D24A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21BDAA7E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Pr="002E51C0">
              <w:rPr>
                <w:i/>
                <w:sz w:val="20"/>
                <w:szCs w:val="20"/>
              </w:rPr>
              <w:t>Mencius</w:t>
            </w:r>
            <w:r>
              <w:rPr>
                <w:sz w:val="20"/>
                <w:szCs w:val="20"/>
              </w:rPr>
              <w:t xml:space="preserve"> III:</w:t>
            </w:r>
          </w:p>
          <w:p w14:paraId="04425C20" w14:textId="77777777" w:rsidR="00BA51A7" w:rsidRPr="00FE0D5A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</w:t>
            </w:r>
            <w:r>
              <w:rPr>
                <w:i/>
                <w:sz w:val="20"/>
                <w:szCs w:val="20"/>
              </w:rPr>
              <w:t xml:space="preserve">Mencius </w:t>
            </w:r>
            <w:r>
              <w:rPr>
                <w:sz w:val="20"/>
                <w:szCs w:val="20"/>
              </w:rPr>
              <w:t>a Motivation Internalist or Moral Reason Internalist?</w:t>
            </w:r>
          </w:p>
        </w:tc>
        <w:tc>
          <w:tcPr>
            <w:tcW w:w="2520" w:type="dxa"/>
          </w:tcPr>
          <w:p w14:paraId="00D4DB85" w14:textId="77777777" w:rsidR="00BA51A7" w:rsidRPr="007C205B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The Mencius </w:t>
            </w:r>
            <w:r>
              <w:rPr>
                <w:sz w:val="20"/>
                <w:szCs w:val="20"/>
              </w:rPr>
              <w:t>6a4-5, 7a21; Liu 2002, Liu 2002a, Shun 1997: 94-112; Finlay 2012; Rosati 2006</w:t>
            </w:r>
          </w:p>
        </w:tc>
        <w:tc>
          <w:tcPr>
            <w:tcW w:w="990" w:type="dxa"/>
          </w:tcPr>
          <w:p w14:paraId="00F63105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ind w:left="32" w:hanging="32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C34D07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</w:tr>
      <w:tr w:rsidR="00BA51A7" w:rsidRPr="008A237C" w14:paraId="60977755" w14:textId="77777777" w:rsidTr="00E41AB3">
        <w:tc>
          <w:tcPr>
            <w:tcW w:w="1188" w:type="dxa"/>
          </w:tcPr>
          <w:p w14:paraId="7809DD6E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3C83CE43" w14:textId="77777777" w:rsidR="00BA51A7" w:rsidRPr="008A237C" w:rsidRDefault="00BA51A7" w:rsidP="00BA51A7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278CC1E6" w14:textId="77777777" w:rsidR="00BA51A7" w:rsidRPr="002E51C0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Session II: Mencius</w:t>
            </w:r>
          </w:p>
        </w:tc>
        <w:tc>
          <w:tcPr>
            <w:tcW w:w="2520" w:type="dxa"/>
          </w:tcPr>
          <w:p w14:paraId="5DF75B10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56D4BBA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ind w:left="32" w:hanging="32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CFF1361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</w:tr>
      <w:tr w:rsidR="00BA51A7" w:rsidRPr="008A237C" w14:paraId="6522BB88" w14:textId="77777777" w:rsidTr="00E41AB3">
        <w:tc>
          <w:tcPr>
            <w:tcW w:w="1188" w:type="dxa"/>
          </w:tcPr>
          <w:p w14:paraId="2DC9E4E7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355F3069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1FD0F25B" w14:textId="0768D4BD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2DEE481B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2950EC62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20892466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48462AC1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2</w:t>
            </w:r>
            <w:r w:rsidRPr="008622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paper due</w:t>
            </w:r>
          </w:p>
        </w:tc>
        <w:tc>
          <w:tcPr>
            <w:tcW w:w="3060" w:type="dxa"/>
          </w:tcPr>
          <w:p w14:paraId="46E315D0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i/>
                <w:sz w:val="20"/>
                <w:szCs w:val="20"/>
              </w:rPr>
              <w:t>Xunzi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</w:p>
          <w:p w14:paraId="10C8B564" w14:textId="77777777" w:rsidR="00BA51A7" w:rsidRPr="002E51C0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Dilemma in </w:t>
            </w:r>
            <w:proofErr w:type="spellStart"/>
            <w:r>
              <w:rPr>
                <w:sz w:val="20"/>
                <w:szCs w:val="20"/>
              </w:rPr>
              <w:t>Xunzi’s</w:t>
            </w:r>
            <w:proofErr w:type="spellEnd"/>
            <w:r>
              <w:rPr>
                <w:sz w:val="20"/>
                <w:szCs w:val="20"/>
              </w:rPr>
              <w:t xml:space="preserve"> View of Human Nature? </w:t>
            </w:r>
          </w:p>
        </w:tc>
        <w:tc>
          <w:tcPr>
            <w:tcW w:w="2520" w:type="dxa"/>
          </w:tcPr>
          <w:p w14:paraId="7EE37539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i/>
                <w:sz w:val="20"/>
                <w:szCs w:val="20"/>
              </w:rPr>
              <w:t>Xunzi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23, 1.8, 5.9; 9.19; 27.67; </w:t>
            </w:r>
            <w:proofErr w:type="spellStart"/>
            <w:r>
              <w:rPr>
                <w:sz w:val="20"/>
                <w:szCs w:val="20"/>
              </w:rPr>
              <w:t>Nivison</w:t>
            </w:r>
            <w:proofErr w:type="spellEnd"/>
            <w:r>
              <w:rPr>
                <w:sz w:val="20"/>
                <w:szCs w:val="20"/>
              </w:rPr>
              <w:t xml:space="preserve"> 1996a; </w:t>
            </w:r>
            <w:proofErr w:type="spellStart"/>
            <w:r>
              <w:rPr>
                <w:sz w:val="20"/>
                <w:szCs w:val="20"/>
              </w:rPr>
              <w:t>Behuniak</w:t>
            </w:r>
            <w:proofErr w:type="spellEnd"/>
            <w:r>
              <w:rPr>
                <w:sz w:val="20"/>
                <w:szCs w:val="20"/>
              </w:rPr>
              <w:t xml:space="preserve"> 2000a; </w:t>
            </w:r>
            <w:proofErr w:type="spellStart"/>
            <w:r>
              <w:rPr>
                <w:sz w:val="20"/>
                <w:szCs w:val="20"/>
              </w:rPr>
              <w:t>Nivison</w:t>
            </w:r>
            <w:proofErr w:type="spellEnd"/>
            <w:r>
              <w:rPr>
                <w:sz w:val="20"/>
                <w:szCs w:val="20"/>
              </w:rPr>
              <w:t xml:space="preserve"> 2000, </w:t>
            </w:r>
            <w:proofErr w:type="spellStart"/>
            <w:r>
              <w:rPr>
                <w:sz w:val="20"/>
                <w:szCs w:val="20"/>
              </w:rPr>
              <w:t>Behuniak</w:t>
            </w:r>
            <w:proofErr w:type="spellEnd"/>
            <w:r>
              <w:rPr>
                <w:sz w:val="20"/>
                <w:szCs w:val="20"/>
              </w:rPr>
              <w:t xml:space="preserve"> 2000b; [Chong 2008; </w:t>
            </w:r>
            <w:proofErr w:type="spellStart"/>
            <w:r>
              <w:rPr>
                <w:sz w:val="20"/>
                <w:szCs w:val="20"/>
              </w:rPr>
              <w:t>Cua</w:t>
            </w:r>
            <w:proofErr w:type="spellEnd"/>
            <w:r>
              <w:rPr>
                <w:sz w:val="20"/>
                <w:szCs w:val="20"/>
              </w:rPr>
              <w:t xml:space="preserve"> 2005: 3-38; Fung 2012; Hutton 2000; Lau 2000; Munro 1996]</w:t>
            </w:r>
          </w:p>
        </w:tc>
        <w:tc>
          <w:tcPr>
            <w:tcW w:w="990" w:type="dxa"/>
          </w:tcPr>
          <w:p w14:paraId="7714F8E0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ind w:left="32" w:hanging="32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A9C9C3D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</w:tr>
      <w:tr w:rsidR="00BA51A7" w:rsidRPr="008A237C" w14:paraId="4F2C8D1D" w14:textId="77777777" w:rsidTr="00E41AB3">
        <w:tc>
          <w:tcPr>
            <w:tcW w:w="1188" w:type="dxa"/>
          </w:tcPr>
          <w:p w14:paraId="0081357D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74B246F0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765850DB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3522E283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1658864C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5D24C8C1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The </w:t>
            </w:r>
            <w:proofErr w:type="spellStart"/>
            <w:r>
              <w:rPr>
                <w:i/>
                <w:sz w:val="20"/>
                <w:szCs w:val="20"/>
              </w:rPr>
              <w:t>Xunzi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II </w:t>
            </w:r>
          </w:p>
          <w:p w14:paraId="67368853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Moral Motivation: Origin of the Goodness</w:t>
            </w:r>
          </w:p>
          <w:p w14:paraId="3218CDCA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  <w:p w14:paraId="7C9B9EF6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  <w:p w14:paraId="792E48BD" w14:textId="77777777" w:rsidR="00BA51A7" w:rsidRPr="002E51C0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7FA960C9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The </w:t>
            </w:r>
            <w:proofErr w:type="spellStart"/>
            <w:r>
              <w:rPr>
                <w:i/>
                <w:sz w:val="20"/>
                <w:szCs w:val="20"/>
              </w:rPr>
              <w:t>Xunzi</w:t>
            </w:r>
            <w:proofErr w:type="spellEnd"/>
            <w:r>
              <w:rPr>
                <w:sz w:val="20"/>
                <w:szCs w:val="20"/>
              </w:rPr>
              <w:t xml:space="preserve"> 2, 19, 21; Van Norden 2000, Wong 2000, Kline III 2000, Li 2011 [</w:t>
            </w:r>
            <w:proofErr w:type="spellStart"/>
            <w:r>
              <w:rPr>
                <w:sz w:val="20"/>
                <w:szCs w:val="20"/>
              </w:rPr>
              <w:t>Cua</w:t>
            </w:r>
            <w:proofErr w:type="spellEnd"/>
            <w:r>
              <w:rPr>
                <w:sz w:val="20"/>
                <w:szCs w:val="20"/>
              </w:rPr>
              <w:t xml:space="preserve"> 2005: 39-72 &amp; 160-190; </w:t>
            </w:r>
            <w:r>
              <w:rPr>
                <w:sz w:val="20"/>
                <w:szCs w:val="20"/>
              </w:rPr>
              <w:lastRenderedPageBreak/>
              <w:t xml:space="preserve">Goldin 2000: </w:t>
            </w:r>
            <w:proofErr w:type="spellStart"/>
            <w:r>
              <w:rPr>
                <w:sz w:val="20"/>
                <w:szCs w:val="20"/>
              </w:rPr>
              <w:t>ch.</w:t>
            </w:r>
            <w:proofErr w:type="spellEnd"/>
            <w:r>
              <w:rPr>
                <w:sz w:val="20"/>
                <w:szCs w:val="20"/>
              </w:rPr>
              <w:t xml:space="preserve"> 1; Hagen 2011; Ivanhoe 2000; </w:t>
            </w:r>
            <w:proofErr w:type="spellStart"/>
            <w:r>
              <w:rPr>
                <w:sz w:val="20"/>
                <w:szCs w:val="20"/>
              </w:rPr>
              <w:t>Yearley</w:t>
            </w:r>
            <w:proofErr w:type="spellEnd"/>
            <w:r>
              <w:rPr>
                <w:sz w:val="20"/>
                <w:szCs w:val="20"/>
              </w:rPr>
              <w:t xml:space="preserve"> 2014]</w:t>
            </w:r>
          </w:p>
        </w:tc>
        <w:tc>
          <w:tcPr>
            <w:tcW w:w="990" w:type="dxa"/>
          </w:tcPr>
          <w:p w14:paraId="1FF2EF0A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ind w:left="32" w:hanging="32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5C91B63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</w:tr>
      <w:tr w:rsidR="00BA51A7" w:rsidRPr="008A237C" w14:paraId="6E7CFE02" w14:textId="77777777" w:rsidTr="00E41AB3">
        <w:tc>
          <w:tcPr>
            <w:tcW w:w="1188" w:type="dxa"/>
          </w:tcPr>
          <w:p w14:paraId="7B2E7DCE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419D33BC" w14:textId="5BB61406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46D67C5A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i/>
                <w:sz w:val="20"/>
                <w:szCs w:val="20"/>
              </w:rPr>
              <w:t>Xunzi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III</w:t>
            </w:r>
          </w:p>
          <w:p w14:paraId="2D6D665B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Nature of </w:t>
            </w:r>
            <w:proofErr w:type="spellStart"/>
            <w:r>
              <w:rPr>
                <w:sz w:val="20"/>
                <w:szCs w:val="20"/>
              </w:rPr>
              <w:t>Xunzi’s</w:t>
            </w:r>
            <w:proofErr w:type="spellEnd"/>
            <w:r>
              <w:rPr>
                <w:sz w:val="20"/>
                <w:szCs w:val="20"/>
              </w:rPr>
              <w:t xml:space="preserve"> Ethics: Realism or Constructivism?</w:t>
            </w:r>
          </w:p>
          <w:p w14:paraId="58FC8CD8" w14:textId="77777777" w:rsidR="00BA51A7" w:rsidRPr="002E51C0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BB427DD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i/>
                <w:sz w:val="20"/>
                <w:szCs w:val="20"/>
              </w:rPr>
              <w:t>Xunzi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19, 21, 22, 17.7, 20.3, </w:t>
            </w:r>
            <w:proofErr w:type="gramStart"/>
            <w:r>
              <w:rPr>
                <w:sz w:val="20"/>
                <w:szCs w:val="20"/>
              </w:rPr>
              <w:t>21.1 ;</w:t>
            </w:r>
            <w:proofErr w:type="gramEnd"/>
            <w:r>
              <w:rPr>
                <w:sz w:val="20"/>
                <w:szCs w:val="20"/>
              </w:rPr>
              <w:t xml:space="preserve"> Ivanhoe 1991a, 2000; Goldin 2000: </w:t>
            </w:r>
            <w:proofErr w:type="spellStart"/>
            <w:r>
              <w:rPr>
                <w:sz w:val="20"/>
                <w:szCs w:val="20"/>
              </w:rPr>
              <w:t>ch.</w:t>
            </w:r>
            <w:proofErr w:type="spellEnd"/>
            <w:r>
              <w:rPr>
                <w:sz w:val="20"/>
                <w:szCs w:val="20"/>
              </w:rPr>
              <w:t xml:space="preserve"> 3; Hagen 2000, Wong 2006: 37-41, 211-220 [Benson 2014; Hagen 2003, 2007: </w:t>
            </w:r>
            <w:proofErr w:type="spellStart"/>
            <w:r>
              <w:rPr>
                <w:sz w:val="20"/>
                <w:szCs w:val="20"/>
              </w:rPr>
              <w:t>ch.</w:t>
            </w:r>
            <w:proofErr w:type="spellEnd"/>
            <w:r>
              <w:rPr>
                <w:sz w:val="20"/>
                <w:szCs w:val="20"/>
              </w:rPr>
              <w:t xml:space="preserve"> 4; Kline III 2004; Lee 2004: </w:t>
            </w:r>
            <w:proofErr w:type="spellStart"/>
            <w:r>
              <w:rPr>
                <w:sz w:val="20"/>
                <w:szCs w:val="20"/>
              </w:rPr>
              <w:t>ch.</w:t>
            </w:r>
            <w:proofErr w:type="spellEnd"/>
            <w:r>
              <w:rPr>
                <w:sz w:val="20"/>
                <w:szCs w:val="20"/>
              </w:rPr>
              <w:t xml:space="preserve"> 5; </w:t>
            </w:r>
            <w:proofErr w:type="spellStart"/>
            <w:r>
              <w:rPr>
                <w:sz w:val="20"/>
                <w:szCs w:val="20"/>
              </w:rPr>
              <w:t>Kupperman</w:t>
            </w:r>
            <w:proofErr w:type="spellEnd"/>
            <w:r>
              <w:rPr>
                <w:sz w:val="20"/>
                <w:szCs w:val="20"/>
              </w:rPr>
              <w:t xml:space="preserve"> 2000] </w:t>
            </w:r>
          </w:p>
        </w:tc>
        <w:tc>
          <w:tcPr>
            <w:tcW w:w="990" w:type="dxa"/>
          </w:tcPr>
          <w:p w14:paraId="796A2A9D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ind w:left="32" w:hanging="32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8F1C770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</w:tr>
      <w:tr w:rsidR="00BA51A7" w:rsidRPr="008A237C" w14:paraId="29738200" w14:textId="77777777" w:rsidTr="00E41AB3">
        <w:tc>
          <w:tcPr>
            <w:tcW w:w="1188" w:type="dxa"/>
          </w:tcPr>
          <w:p w14:paraId="4C298956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14:paraId="708696C2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580F5A55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600965CA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6392DA56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13CEFAEC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  <w:p w14:paraId="067CF5DF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  <w:p w14:paraId="02F12017" w14:textId="77777777" w:rsidR="00BA51A7" w:rsidRPr="002E51C0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Session III: </w:t>
            </w:r>
            <w:proofErr w:type="spellStart"/>
            <w:r>
              <w:rPr>
                <w:sz w:val="20"/>
                <w:szCs w:val="20"/>
              </w:rPr>
              <w:t>Xunzi</w:t>
            </w:r>
            <w:proofErr w:type="spellEnd"/>
          </w:p>
        </w:tc>
        <w:tc>
          <w:tcPr>
            <w:tcW w:w="2520" w:type="dxa"/>
          </w:tcPr>
          <w:p w14:paraId="7768CF0B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ADBDE26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ind w:left="32" w:hanging="32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FE619AB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</w:tr>
      <w:tr w:rsidR="00BA51A7" w:rsidRPr="008A237C" w14:paraId="0715F21D" w14:textId="77777777" w:rsidTr="00E41AB3">
        <w:tc>
          <w:tcPr>
            <w:tcW w:w="1188" w:type="dxa"/>
          </w:tcPr>
          <w:p w14:paraId="4F4EFB69" w14:textId="77777777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</w:p>
          <w:p w14:paraId="240FDAF1" w14:textId="57DC9E12" w:rsidR="00BA51A7" w:rsidRDefault="00BA51A7" w:rsidP="00E41AB3">
            <w:pPr>
              <w:pStyle w:val="BodyText"/>
              <w:adjustRightInd w:val="0"/>
              <w:snapToGrid w:val="0"/>
              <w:spacing w:beforeLines="50"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14:paraId="0F4F0354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3</w:t>
            </w:r>
            <w:r w:rsidRPr="008622D8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paper due</w:t>
            </w:r>
          </w:p>
        </w:tc>
        <w:tc>
          <w:tcPr>
            <w:tcW w:w="3060" w:type="dxa"/>
          </w:tcPr>
          <w:p w14:paraId="653F74B2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4E6CBFEF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D0C038C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ind w:left="32" w:hanging="32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0F0F5E4" w14:textId="77777777" w:rsidR="00BA51A7" w:rsidRPr="008A237C" w:rsidRDefault="00BA51A7" w:rsidP="00E41AB3">
            <w:pPr>
              <w:pStyle w:val="BodyText"/>
              <w:adjustRightInd w:val="0"/>
              <w:snapToGrid w:val="0"/>
              <w:spacing w:beforeLines="50" w:before="120"/>
              <w:jc w:val="left"/>
              <w:rPr>
                <w:sz w:val="20"/>
                <w:szCs w:val="20"/>
              </w:rPr>
            </w:pPr>
          </w:p>
        </w:tc>
      </w:tr>
    </w:tbl>
    <w:p w14:paraId="6FF6048B" w14:textId="77777777" w:rsidR="00BA51A7" w:rsidRPr="008A237C" w:rsidRDefault="00BA51A7" w:rsidP="00BA51A7">
      <w:pPr>
        <w:pStyle w:val="BodyText"/>
        <w:adjustRightInd w:val="0"/>
        <w:snapToGrid w:val="0"/>
        <w:rPr>
          <w:b/>
          <w:sz w:val="20"/>
          <w:szCs w:val="20"/>
        </w:rPr>
      </w:pPr>
    </w:p>
    <w:p w14:paraId="440872A7" w14:textId="53BDD465" w:rsidR="006064EE" w:rsidRDefault="00D77625" w:rsidP="00D77625">
      <w:pPr>
        <w:pStyle w:val="BodyText"/>
        <w:adjustRightInd w:val="0"/>
        <w:snapToGrid w:val="0"/>
        <w:spacing w:beforeLines="50" w:before="120"/>
        <w:rPr>
          <w:b/>
          <w:sz w:val="20"/>
          <w:szCs w:val="20"/>
        </w:rPr>
      </w:pPr>
      <w:r w:rsidRPr="00D77625">
        <w:rPr>
          <w:b/>
          <w:sz w:val="20"/>
          <w:szCs w:val="20"/>
        </w:rPr>
        <w:t>List of References</w:t>
      </w:r>
      <w:r>
        <w:rPr>
          <w:b/>
          <w:sz w:val="20"/>
          <w:szCs w:val="20"/>
        </w:rPr>
        <w:t>:</w:t>
      </w:r>
    </w:p>
    <w:p w14:paraId="348A16DC" w14:textId="309BCC8A" w:rsidR="00D77625" w:rsidRDefault="00D77625" w:rsidP="00D77625">
      <w:pPr>
        <w:pStyle w:val="BodyText"/>
        <w:adjustRightInd w:val="0"/>
        <w:snapToGrid w:val="0"/>
        <w:spacing w:beforeLines="50" w:before="120"/>
        <w:rPr>
          <w:b/>
          <w:sz w:val="20"/>
          <w:szCs w:val="20"/>
        </w:rPr>
      </w:pPr>
    </w:p>
    <w:p w14:paraId="5436DAAE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A. Primary Texts (and Their English Translations)</w:t>
      </w:r>
    </w:p>
    <w:p w14:paraId="5A8B438E" w14:textId="77777777" w:rsidR="00D77625" w:rsidRDefault="00D77625" w:rsidP="00D77625">
      <w:pPr>
        <w:pStyle w:val="BodyText"/>
        <w:adjustRightInd w:val="0"/>
        <w:snapToGrid w:val="0"/>
        <w:rPr>
          <w:sz w:val="20"/>
          <w:szCs w:val="20"/>
        </w:rPr>
      </w:pPr>
      <w:r w:rsidRPr="00FD6FE4">
        <w:rPr>
          <w:sz w:val="20"/>
          <w:szCs w:val="20"/>
        </w:rPr>
        <w:t xml:space="preserve">Lau, D.C., trans., </w:t>
      </w:r>
      <w:r w:rsidRPr="00FD6FE4">
        <w:rPr>
          <w:i/>
          <w:sz w:val="20"/>
          <w:szCs w:val="20"/>
        </w:rPr>
        <w:t>The Analects</w:t>
      </w:r>
      <w:r w:rsidRPr="00FD6FE4">
        <w:rPr>
          <w:sz w:val="20"/>
          <w:szCs w:val="20"/>
        </w:rPr>
        <w:t>. New York: Penguin, 1979.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description place holder"/>
      </w:tblPr>
      <w:tblGrid>
        <w:gridCol w:w="36"/>
        <w:gridCol w:w="36"/>
      </w:tblGrid>
      <w:tr w:rsidR="00D77625" w14:paraId="37855CC1" w14:textId="77777777" w:rsidTr="00E41AB3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AB7BA6" w14:textId="77777777" w:rsidR="00D77625" w:rsidRDefault="00D77625" w:rsidP="00D77625">
            <w:pPr>
              <w:rPr>
                <w:rFonts w:ascii="Arial" w:hAnsi="Arial" w:cs="Arial"/>
                <w:color w:val="32322F"/>
              </w:rPr>
            </w:pPr>
          </w:p>
        </w:tc>
        <w:tc>
          <w:tcPr>
            <w:tcW w:w="0" w:type="auto"/>
            <w:vAlign w:val="center"/>
            <w:hideMark/>
          </w:tcPr>
          <w:p w14:paraId="6CB359B5" w14:textId="77777777" w:rsidR="00D77625" w:rsidRPr="00BA7C8D" w:rsidRDefault="00D77625" w:rsidP="00D77625">
            <w:pPr>
              <w:pStyle w:val="BodyText"/>
              <w:adjustRightInd w:val="0"/>
              <w:snapToGrid w:val="0"/>
              <w:rPr>
                <w:b/>
                <w:sz w:val="20"/>
                <w:szCs w:val="20"/>
              </w:rPr>
            </w:pPr>
          </w:p>
        </w:tc>
      </w:tr>
    </w:tbl>
    <w:p w14:paraId="5DE9A78D" w14:textId="77777777" w:rsidR="00D77625" w:rsidRDefault="00D77625" w:rsidP="00D77625">
      <w:pPr>
        <w:pStyle w:val="BodyText"/>
        <w:adjustRightInd w:val="0"/>
        <w:snapToGrid w:val="0"/>
        <w:rPr>
          <w:sz w:val="20"/>
          <w:szCs w:val="20"/>
        </w:rPr>
      </w:pPr>
      <w:r w:rsidRPr="00FD6FE4">
        <w:rPr>
          <w:sz w:val="20"/>
          <w:szCs w:val="20"/>
        </w:rPr>
        <w:t xml:space="preserve">Lau, D.C., trans, </w:t>
      </w:r>
      <w:r w:rsidRPr="00FD6FE4">
        <w:rPr>
          <w:i/>
          <w:sz w:val="20"/>
          <w:szCs w:val="20"/>
        </w:rPr>
        <w:t>The Mencius</w:t>
      </w:r>
      <w:r w:rsidRPr="00FD6FE4">
        <w:rPr>
          <w:sz w:val="20"/>
          <w:szCs w:val="20"/>
        </w:rPr>
        <w:t>, Harmondsworth: Penguin, 1970</w:t>
      </w:r>
    </w:p>
    <w:p w14:paraId="204CBD0B" w14:textId="77777777" w:rsidR="00D77625" w:rsidRDefault="00D77625" w:rsidP="00D77625">
      <w:pPr>
        <w:pStyle w:val="BodyText"/>
        <w:adjustRightInd w:val="0"/>
        <w:snapToGrid w:val="0"/>
        <w:rPr>
          <w:sz w:val="20"/>
          <w:szCs w:val="20"/>
        </w:rPr>
      </w:pPr>
      <w:proofErr w:type="spellStart"/>
      <w:r w:rsidRPr="00FD6FE4">
        <w:rPr>
          <w:sz w:val="20"/>
          <w:szCs w:val="20"/>
        </w:rPr>
        <w:t>Knoblock</w:t>
      </w:r>
      <w:proofErr w:type="spellEnd"/>
      <w:r w:rsidRPr="00FD6FE4">
        <w:rPr>
          <w:sz w:val="20"/>
          <w:szCs w:val="20"/>
        </w:rPr>
        <w:t xml:space="preserve">, John, trans., </w:t>
      </w:r>
      <w:proofErr w:type="spellStart"/>
      <w:r w:rsidRPr="00FD6FE4">
        <w:rPr>
          <w:i/>
          <w:sz w:val="20"/>
          <w:szCs w:val="20"/>
        </w:rPr>
        <w:t>Xunzi</w:t>
      </w:r>
      <w:proofErr w:type="spellEnd"/>
      <w:r w:rsidRPr="00FD6FE4">
        <w:rPr>
          <w:i/>
          <w:sz w:val="20"/>
          <w:szCs w:val="20"/>
        </w:rPr>
        <w:t>: A Translation and Study of the Complete Works</w:t>
      </w:r>
      <w:r w:rsidRPr="00FD6FE4">
        <w:rPr>
          <w:sz w:val="20"/>
          <w:szCs w:val="20"/>
        </w:rPr>
        <w:t>, 3 vols., Stanford: Stanford University Press, 1988-1990.</w:t>
      </w:r>
    </w:p>
    <w:p w14:paraId="3AFD1248" w14:textId="77777777" w:rsidR="00D77625" w:rsidRPr="00FD6FE4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</w:p>
    <w:p w14:paraId="19B33258" w14:textId="752AE138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B</w:t>
      </w:r>
      <w:r>
        <w:rPr>
          <w:b/>
          <w:sz w:val="20"/>
          <w:szCs w:val="20"/>
        </w:rPr>
        <w:t>. Secondary Literatures</w:t>
      </w:r>
      <w:r>
        <w:rPr>
          <w:b/>
          <w:sz w:val="20"/>
          <w:szCs w:val="20"/>
        </w:rPr>
        <w:t xml:space="preserve"> (including mandatory readings listed in course schedule above)</w:t>
      </w:r>
    </w:p>
    <w:p w14:paraId="0A9F19D0" w14:textId="77777777" w:rsidR="00D77625" w:rsidRPr="00C6720F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Ames, Roger T. 1999. “The </w:t>
      </w:r>
      <w:proofErr w:type="spellStart"/>
      <w:r>
        <w:rPr>
          <w:sz w:val="20"/>
          <w:szCs w:val="20"/>
        </w:rPr>
        <w:t>Mencian</w:t>
      </w:r>
      <w:proofErr w:type="spellEnd"/>
      <w:r>
        <w:rPr>
          <w:sz w:val="20"/>
          <w:szCs w:val="20"/>
        </w:rPr>
        <w:t xml:space="preserve"> Conception of </w:t>
      </w:r>
      <w:r>
        <w:rPr>
          <w:i/>
          <w:sz w:val="20"/>
          <w:szCs w:val="20"/>
        </w:rPr>
        <w:t>Ren Xing</w:t>
      </w:r>
      <w:r>
        <w:rPr>
          <w:sz w:val="20"/>
          <w:szCs w:val="20"/>
        </w:rPr>
        <w:t xml:space="preserve">: Does It Mean ‘Human Nature’.” In Henry Rosemont, ed., </w:t>
      </w:r>
      <w:r w:rsidRPr="00C6720F">
        <w:rPr>
          <w:i/>
          <w:sz w:val="20"/>
          <w:szCs w:val="20"/>
        </w:rPr>
        <w:t>Chinese Texts and Philosophical Contexts</w:t>
      </w:r>
      <w:r>
        <w:rPr>
          <w:sz w:val="20"/>
          <w:szCs w:val="20"/>
        </w:rPr>
        <w:t>. Chicago: Open Court: 143-178.</w:t>
      </w:r>
    </w:p>
    <w:p w14:paraId="14ADEAC0" w14:textId="77777777" w:rsidR="00D77625" w:rsidRPr="003A63D1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>Ames, Roger T. 2002. “</w:t>
      </w:r>
      <w:r w:rsidRPr="003A63D1">
        <w:rPr>
          <w:sz w:val="20"/>
          <w:szCs w:val="20"/>
        </w:rPr>
        <w:t>Mencius and a Process Notion of Human Nature</w:t>
      </w:r>
      <w:r>
        <w:rPr>
          <w:sz w:val="20"/>
          <w:szCs w:val="20"/>
        </w:rPr>
        <w:t xml:space="preserve">.” In Alan Chan, ed., </w:t>
      </w:r>
      <w:proofErr w:type="gramStart"/>
      <w:r w:rsidRPr="003A63D1">
        <w:rPr>
          <w:i/>
          <w:sz w:val="20"/>
          <w:szCs w:val="20"/>
        </w:rPr>
        <w:t>Mencius :</w:t>
      </w:r>
      <w:proofErr w:type="gramEnd"/>
      <w:r w:rsidRPr="003A63D1">
        <w:rPr>
          <w:i/>
          <w:sz w:val="20"/>
          <w:szCs w:val="20"/>
        </w:rPr>
        <w:t xml:space="preserve"> contexts and interpretations</w:t>
      </w:r>
      <w:r>
        <w:rPr>
          <w:sz w:val="20"/>
          <w:szCs w:val="20"/>
        </w:rPr>
        <w:t>. Honolulu: University of Hawaii Press, 42-70.</w:t>
      </w:r>
    </w:p>
    <w:p w14:paraId="6F138557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Behunaik</w:t>
      </w:r>
      <w:proofErr w:type="spellEnd"/>
      <w:r>
        <w:rPr>
          <w:sz w:val="20"/>
          <w:szCs w:val="20"/>
        </w:rPr>
        <w:t xml:space="preserve">, Jr., James. 2005. </w:t>
      </w:r>
      <w:r>
        <w:rPr>
          <w:i/>
          <w:sz w:val="20"/>
          <w:szCs w:val="20"/>
        </w:rPr>
        <w:t>Mencius on Becoming Human</w:t>
      </w:r>
      <w:r>
        <w:rPr>
          <w:sz w:val="20"/>
          <w:szCs w:val="20"/>
        </w:rPr>
        <w:t>. Albany, NY: SUNY Press.</w:t>
      </w:r>
    </w:p>
    <w:p w14:paraId="5AEF4048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 w:rsidRPr="003E2453">
        <w:rPr>
          <w:sz w:val="20"/>
          <w:szCs w:val="20"/>
        </w:rPr>
        <w:t>Behuniak</w:t>
      </w:r>
      <w:proofErr w:type="spellEnd"/>
      <w:r w:rsidRPr="003E2453">
        <w:rPr>
          <w:sz w:val="20"/>
          <w:szCs w:val="20"/>
        </w:rPr>
        <w:t>, James 2000</w:t>
      </w:r>
      <w:r>
        <w:rPr>
          <w:sz w:val="20"/>
          <w:szCs w:val="20"/>
        </w:rPr>
        <w:t>a</w:t>
      </w:r>
      <w:r w:rsidRPr="003E2453">
        <w:rPr>
          <w:sz w:val="20"/>
          <w:szCs w:val="20"/>
        </w:rPr>
        <w:t xml:space="preserve">. </w:t>
      </w:r>
      <w:r>
        <w:rPr>
          <w:sz w:val="20"/>
          <w:szCs w:val="20"/>
        </w:rPr>
        <w:t>“</w:t>
      </w:r>
      <w:proofErr w:type="spellStart"/>
      <w:r>
        <w:rPr>
          <w:sz w:val="20"/>
          <w:szCs w:val="20"/>
        </w:rPr>
        <w:t>Nivison</w:t>
      </w:r>
      <w:proofErr w:type="spellEnd"/>
      <w:r>
        <w:rPr>
          <w:sz w:val="20"/>
          <w:szCs w:val="20"/>
        </w:rPr>
        <w:t xml:space="preserve"> and the ‘Problem’</w:t>
      </w:r>
      <w:r w:rsidRPr="003E2453">
        <w:rPr>
          <w:sz w:val="20"/>
          <w:szCs w:val="20"/>
        </w:rPr>
        <w:t xml:space="preserve"> in </w:t>
      </w:r>
      <w:proofErr w:type="spellStart"/>
      <w:r w:rsidRPr="003E2453">
        <w:rPr>
          <w:sz w:val="20"/>
          <w:szCs w:val="20"/>
        </w:rPr>
        <w:t>Xunzi's</w:t>
      </w:r>
      <w:proofErr w:type="spellEnd"/>
      <w:r w:rsidRPr="003E2453">
        <w:rPr>
          <w:sz w:val="20"/>
          <w:szCs w:val="20"/>
        </w:rPr>
        <w:t xml:space="preserve"> Ethics</w:t>
      </w:r>
      <w:r>
        <w:rPr>
          <w:sz w:val="20"/>
          <w:szCs w:val="20"/>
        </w:rPr>
        <w:t>.”</w:t>
      </w:r>
      <w:r w:rsidRPr="003E2453">
        <w:rPr>
          <w:sz w:val="20"/>
          <w:szCs w:val="20"/>
        </w:rPr>
        <w:t xml:space="preserve"> </w:t>
      </w:r>
      <w:r w:rsidRPr="003E2453">
        <w:rPr>
          <w:i/>
          <w:sz w:val="20"/>
          <w:szCs w:val="20"/>
        </w:rPr>
        <w:t>Philosophy East and West</w:t>
      </w:r>
      <w:r>
        <w:rPr>
          <w:sz w:val="20"/>
          <w:szCs w:val="20"/>
        </w:rPr>
        <w:t xml:space="preserve"> 50.1:</w:t>
      </w:r>
      <w:r w:rsidRPr="003E2453">
        <w:rPr>
          <w:sz w:val="20"/>
          <w:szCs w:val="20"/>
        </w:rPr>
        <w:t xml:space="preserve"> 97-110</w:t>
      </w:r>
      <w:r>
        <w:rPr>
          <w:sz w:val="20"/>
          <w:szCs w:val="20"/>
        </w:rPr>
        <w:t>.</w:t>
      </w:r>
    </w:p>
    <w:p w14:paraId="2781F6BB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Behuniak</w:t>
      </w:r>
      <w:proofErr w:type="spellEnd"/>
      <w:r>
        <w:rPr>
          <w:sz w:val="20"/>
          <w:szCs w:val="20"/>
        </w:rPr>
        <w:t>,</w:t>
      </w:r>
      <w:r w:rsidRPr="005966CE">
        <w:rPr>
          <w:sz w:val="20"/>
          <w:szCs w:val="20"/>
        </w:rPr>
        <w:t xml:space="preserve"> </w:t>
      </w:r>
      <w:r>
        <w:rPr>
          <w:sz w:val="20"/>
          <w:szCs w:val="20"/>
        </w:rPr>
        <w:t>James. 2000. “</w:t>
      </w:r>
      <w:r w:rsidRPr="005966CE">
        <w:rPr>
          <w:sz w:val="20"/>
          <w:szCs w:val="20"/>
        </w:rPr>
        <w:t xml:space="preserve">Reply to David </w:t>
      </w:r>
      <w:proofErr w:type="spellStart"/>
      <w:r w:rsidRPr="005966CE">
        <w:rPr>
          <w:sz w:val="20"/>
          <w:szCs w:val="20"/>
        </w:rPr>
        <w:t>Nivison</w:t>
      </w:r>
      <w:proofErr w:type="spellEnd"/>
      <w:r>
        <w:rPr>
          <w:sz w:val="20"/>
          <w:szCs w:val="20"/>
        </w:rPr>
        <w:t xml:space="preserve">.” </w:t>
      </w:r>
      <w:r w:rsidRPr="005966CE">
        <w:rPr>
          <w:i/>
          <w:sz w:val="20"/>
          <w:szCs w:val="20"/>
        </w:rPr>
        <w:t>Philosophy East and West</w:t>
      </w:r>
      <w:r w:rsidRPr="005966CE">
        <w:rPr>
          <w:sz w:val="20"/>
          <w:szCs w:val="20"/>
        </w:rPr>
        <w:t xml:space="preserve"> 50</w:t>
      </w:r>
      <w:r>
        <w:rPr>
          <w:sz w:val="20"/>
          <w:szCs w:val="20"/>
        </w:rPr>
        <w:t>:</w:t>
      </w:r>
      <w:r w:rsidRPr="005966CE">
        <w:rPr>
          <w:sz w:val="20"/>
          <w:szCs w:val="20"/>
        </w:rPr>
        <w:t xml:space="preserve"> 116-118</w:t>
      </w:r>
      <w:r>
        <w:rPr>
          <w:sz w:val="20"/>
          <w:szCs w:val="20"/>
        </w:rPr>
        <w:t>.</w:t>
      </w:r>
    </w:p>
    <w:p w14:paraId="3FE31EFA" w14:textId="77777777" w:rsidR="00D77625" w:rsidRPr="00F915E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>Benson, Mark. 2014. “</w:t>
      </w:r>
      <w:proofErr w:type="spellStart"/>
      <w:r>
        <w:rPr>
          <w:i/>
          <w:sz w:val="20"/>
          <w:szCs w:val="20"/>
        </w:rPr>
        <w:t>Xunzi’s</w:t>
      </w:r>
      <w:proofErr w:type="spellEnd"/>
      <w:r>
        <w:rPr>
          <w:i/>
          <w:sz w:val="20"/>
          <w:szCs w:val="20"/>
        </w:rPr>
        <w:t xml:space="preserve"> Reinterpretation of Ritual: A Hermeneutic Defense of the Confucian Way</w:t>
      </w:r>
      <w:r>
        <w:rPr>
          <w:sz w:val="20"/>
          <w:szCs w:val="20"/>
        </w:rPr>
        <w:t xml:space="preserve">.” In T.C. Kline III and Justin </w:t>
      </w:r>
      <w:proofErr w:type="spellStart"/>
      <w:r>
        <w:rPr>
          <w:sz w:val="20"/>
          <w:szCs w:val="20"/>
        </w:rPr>
        <w:t>Tiwald</w:t>
      </w:r>
      <w:proofErr w:type="spellEnd"/>
      <w:r>
        <w:rPr>
          <w:sz w:val="20"/>
          <w:szCs w:val="20"/>
        </w:rPr>
        <w:t xml:space="preserve">, eds., </w:t>
      </w:r>
      <w:r>
        <w:rPr>
          <w:i/>
          <w:sz w:val="20"/>
          <w:szCs w:val="20"/>
        </w:rPr>
        <w:t xml:space="preserve">Ritual and Religion in the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sz w:val="20"/>
          <w:szCs w:val="20"/>
        </w:rPr>
        <w:t xml:space="preserve">. Albany: SUNY Press, 107-134. </w:t>
      </w:r>
    </w:p>
    <w:p w14:paraId="07283BC2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>Bloom, Irene T. 2002. “</w:t>
      </w:r>
      <w:proofErr w:type="spellStart"/>
      <w:r>
        <w:rPr>
          <w:sz w:val="20"/>
          <w:szCs w:val="20"/>
        </w:rPr>
        <w:t>Mengzian</w:t>
      </w:r>
      <w:proofErr w:type="spellEnd"/>
      <w:r>
        <w:rPr>
          <w:sz w:val="20"/>
          <w:szCs w:val="20"/>
        </w:rPr>
        <w:t xml:space="preserve"> Arguments on Human Nature.” In </w:t>
      </w:r>
      <w:proofErr w:type="spellStart"/>
      <w:r>
        <w:rPr>
          <w:sz w:val="20"/>
          <w:szCs w:val="20"/>
        </w:rPr>
        <w:t>Xiusheng</w:t>
      </w:r>
      <w:proofErr w:type="spellEnd"/>
      <w:r>
        <w:rPr>
          <w:sz w:val="20"/>
          <w:szCs w:val="20"/>
        </w:rPr>
        <w:t xml:space="preserve"> Liu and Philip J. Ivanhoe, eds., 2002, pp. 64-100.</w:t>
      </w:r>
    </w:p>
    <w:p w14:paraId="2D893A46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>Chang, Chi-</w:t>
      </w:r>
      <w:proofErr w:type="spellStart"/>
      <w:r>
        <w:rPr>
          <w:sz w:val="20"/>
          <w:szCs w:val="20"/>
        </w:rPr>
        <w:t>yun</w:t>
      </w:r>
      <w:proofErr w:type="spellEnd"/>
      <w:r>
        <w:rPr>
          <w:sz w:val="20"/>
          <w:szCs w:val="20"/>
        </w:rPr>
        <w:t xml:space="preserve">. 1980. “Confucius’s Philosophy of Education.” </w:t>
      </w:r>
      <w:r>
        <w:rPr>
          <w:i/>
          <w:sz w:val="20"/>
          <w:szCs w:val="20"/>
        </w:rPr>
        <w:t>Chinese Culture</w:t>
      </w:r>
      <w:r>
        <w:rPr>
          <w:sz w:val="20"/>
          <w:szCs w:val="20"/>
        </w:rPr>
        <w:t xml:space="preserve"> 21.4: 21-56.</w:t>
      </w:r>
    </w:p>
    <w:p w14:paraId="048D5D22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>Chang, Chi-</w:t>
      </w:r>
      <w:proofErr w:type="spellStart"/>
      <w:r>
        <w:rPr>
          <w:sz w:val="20"/>
          <w:szCs w:val="20"/>
        </w:rPr>
        <w:t>yun</w:t>
      </w:r>
      <w:proofErr w:type="spellEnd"/>
      <w:r>
        <w:rPr>
          <w:sz w:val="20"/>
          <w:szCs w:val="20"/>
        </w:rPr>
        <w:t xml:space="preserve">. 1981. “Confucius’s Political Philosophy.” </w:t>
      </w:r>
      <w:r>
        <w:rPr>
          <w:i/>
          <w:sz w:val="20"/>
          <w:szCs w:val="20"/>
        </w:rPr>
        <w:t xml:space="preserve">Chinese Culture </w:t>
      </w:r>
      <w:r>
        <w:rPr>
          <w:sz w:val="20"/>
          <w:szCs w:val="20"/>
        </w:rPr>
        <w:t>22.1: 1-31.</w:t>
      </w:r>
    </w:p>
    <w:p w14:paraId="3E3AA2B1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>Chang, Chi-</w:t>
      </w:r>
      <w:proofErr w:type="spellStart"/>
      <w:r>
        <w:rPr>
          <w:sz w:val="20"/>
          <w:szCs w:val="20"/>
        </w:rPr>
        <w:t>yun</w:t>
      </w:r>
      <w:proofErr w:type="spellEnd"/>
      <w:r>
        <w:rPr>
          <w:sz w:val="20"/>
          <w:szCs w:val="20"/>
        </w:rPr>
        <w:t xml:space="preserve">. 1981a. “Confucius’s Philosophy of Law.” </w:t>
      </w:r>
      <w:r>
        <w:rPr>
          <w:i/>
          <w:sz w:val="20"/>
          <w:szCs w:val="20"/>
        </w:rPr>
        <w:t>Chinese Culture</w:t>
      </w:r>
      <w:r>
        <w:rPr>
          <w:sz w:val="20"/>
          <w:szCs w:val="20"/>
        </w:rPr>
        <w:t xml:space="preserve"> 22.3: 1-21.</w:t>
      </w:r>
    </w:p>
    <w:p w14:paraId="6A8022C3" w14:textId="77777777" w:rsidR="00D77625" w:rsidRPr="00DD3480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Chen, Lai. 2008. “The Ideal of ‘Educating’ and ‘Learning’ in Confucian Thought.” In Roger T. Ames and Peter </w:t>
      </w:r>
      <w:proofErr w:type="spellStart"/>
      <w:r>
        <w:rPr>
          <w:sz w:val="20"/>
          <w:szCs w:val="20"/>
        </w:rPr>
        <w:t>Hershock</w:t>
      </w:r>
      <w:proofErr w:type="spellEnd"/>
      <w:r>
        <w:rPr>
          <w:sz w:val="20"/>
          <w:szCs w:val="20"/>
        </w:rPr>
        <w:t xml:space="preserve">, eds., </w:t>
      </w:r>
      <w:r>
        <w:rPr>
          <w:i/>
          <w:sz w:val="20"/>
          <w:szCs w:val="20"/>
        </w:rPr>
        <w:t>Educations and Their Purposes</w:t>
      </w:r>
      <w:r>
        <w:rPr>
          <w:sz w:val="20"/>
          <w:szCs w:val="20"/>
        </w:rPr>
        <w:t>. Honolulu: University of Hawaii Press.</w:t>
      </w:r>
    </w:p>
    <w:p w14:paraId="50C27119" w14:textId="77777777" w:rsidR="00D77625" w:rsidRPr="00967249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Chiu, </w:t>
      </w:r>
      <w:hyperlink r:id="rId5" w:history="1">
        <w:r w:rsidRPr="00967249">
          <w:rPr>
            <w:sz w:val="20"/>
            <w:szCs w:val="20"/>
          </w:rPr>
          <w:t xml:space="preserve">Wai </w:t>
        </w:r>
        <w:proofErr w:type="spellStart"/>
        <w:r w:rsidRPr="00967249">
          <w:rPr>
            <w:sz w:val="20"/>
            <w:szCs w:val="20"/>
          </w:rPr>
          <w:t>Wai</w:t>
        </w:r>
        <w:proofErr w:type="spellEnd"/>
        <w:r>
          <w:rPr>
            <w:sz w:val="20"/>
            <w:szCs w:val="20"/>
          </w:rPr>
          <w:t xml:space="preserve"> 2014. “</w:t>
        </w:r>
      </w:hyperlink>
      <w:r>
        <w:rPr>
          <w:sz w:val="20"/>
          <w:szCs w:val="20"/>
        </w:rPr>
        <w:t xml:space="preserve"> </w:t>
      </w:r>
      <w:r w:rsidRPr="00967249">
        <w:rPr>
          <w:sz w:val="20"/>
          <w:szCs w:val="20"/>
        </w:rPr>
        <w:t xml:space="preserve">Assessment of </w:t>
      </w:r>
      <w:r w:rsidRPr="00967249">
        <w:rPr>
          <w:i/>
          <w:sz w:val="20"/>
          <w:szCs w:val="20"/>
        </w:rPr>
        <w:t>Li</w:t>
      </w:r>
      <w:r w:rsidRPr="00967249">
        <w:rPr>
          <w:sz w:val="20"/>
          <w:szCs w:val="20"/>
        </w:rPr>
        <w:t xml:space="preserve"> </w:t>
      </w:r>
      <w:r w:rsidRPr="00967249">
        <w:rPr>
          <w:sz w:val="20"/>
          <w:szCs w:val="20"/>
        </w:rPr>
        <w:t>利</w:t>
      </w:r>
      <w:r w:rsidRPr="00967249">
        <w:rPr>
          <w:sz w:val="20"/>
          <w:szCs w:val="20"/>
        </w:rPr>
        <w:t xml:space="preserve"> in the </w:t>
      </w:r>
      <w:r w:rsidRPr="00967249">
        <w:rPr>
          <w:i/>
          <w:sz w:val="20"/>
          <w:szCs w:val="20"/>
        </w:rPr>
        <w:t>Mencius</w:t>
      </w:r>
      <w:r w:rsidRPr="00967249">
        <w:rPr>
          <w:sz w:val="20"/>
          <w:szCs w:val="20"/>
        </w:rPr>
        <w:t xml:space="preserve"> and the </w:t>
      </w:r>
      <w:proofErr w:type="spellStart"/>
      <w:r w:rsidRPr="00967249">
        <w:rPr>
          <w:i/>
          <w:sz w:val="20"/>
          <w:szCs w:val="20"/>
        </w:rPr>
        <w:t>Mozi</w:t>
      </w:r>
      <w:proofErr w:type="spellEnd"/>
      <w:r>
        <w:rPr>
          <w:sz w:val="20"/>
          <w:szCs w:val="20"/>
        </w:rPr>
        <w:t xml:space="preserve">.” </w:t>
      </w:r>
      <w:r w:rsidRPr="00967249">
        <w:rPr>
          <w:i/>
          <w:sz w:val="20"/>
          <w:szCs w:val="20"/>
        </w:rPr>
        <w:t>Dao</w:t>
      </w:r>
      <w:r>
        <w:rPr>
          <w:sz w:val="20"/>
          <w:szCs w:val="20"/>
        </w:rPr>
        <w:t>: 13: 199-214.</w:t>
      </w:r>
      <w:r w:rsidRPr="00967249">
        <w:rPr>
          <w:sz w:val="20"/>
          <w:szCs w:val="20"/>
        </w:rPr>
        <w:t xml:space="preserve"> </w:t>
      </w:r>
    </w:p>
    <w:p w14:paraId="4E79B941" w14:textId="77777777" w:rsidR="00D77625" w:rsidRPr="00315ED7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Chong, Kim Chong. 1998. “Confucius’s Virtue Ethics.” </w:t>
      </w:r>
      <w:r>
        <w:rPr>
          <w:i/>
          <w:sz w:val="20"/>
          <w:szCs w:val="20"/>
        </w:rPr>
        <w:t>Journal of Chinese Philosophy</w:t>
      </w:r>
      <w:r>
        <w:rPr>
          <w:sz w:val="20"/>
          <w:szCs w:val="20"/>
        </w:rPr>
        <w:t xml:space="preserve"> 25: 101-130.</w:t>
      </w:r>
    </w:p>
    <w:p w14:paraId="2EC4BF0B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 w:rsidRPr="00C315C0">
        <w:rPr>
          <w:sz w:val="20"/>
          <w:szCs w:val="20"/>
        </w:rPr>
        <w:t>Chong</w:t>
      </w:r>
      <w:r>
        <w:rPr>
          <w:sz w:val="20"/>
          <w:szCs w:val="20"/>
        </w:rPr>
        <w:t>,</w:t>
      </w:r>
      <w:r w:rsidRPr="00C315C0">
        <w:rPr>
          <w:sz w:val="20"/>
          <w:szCs w:val="20"/>
        </w:rPr>
        <w:t xml:space="preserve"> </w:t>
      </w:r>
      <w:hyperlink r:id="rId6" w:history="1">
        <w:r w:rsidRPr="00C315C0">
          <w:rPr>
            <w:sz w:val="20"/>
            <w:szCs w:val="20"/>
          </w:rPr>
          <w:t>Kim Chong</w:t>
        </w:r>
        <w:r>
          <w:rPr>
            <w:sz w:val="20"/>
            <w:szCs w:val="20"/>
          </w:rPr>
          <w:t xml:space="preserve">. 2007. </w:t>
        </w:r>
      </w:hyperlink>
      <w:r>
        <w:rPr>
          <w:i/>
          <w:sz w:val="20"/>
          <w:szCs w:val="20"/>
        </w:rPr>
        <w:t>Early Confucian Ethics: Concepts and A</w:t>
      </w:r>
      <w:r w:rsidRPr="00C315C0">
        <w:rPr>
          <w:i/>
          <w:sz w:val="20"/>
          <w:szCs w:val="20"/>
        </w:rPr>
        <w:t>rguments</w:t>
      </w:r>
      <w:r>
        <w:rPr>
          <w:i/>
          <w:sz w:val="20"/>
          <w:szCs w:val="20"/>
        </w:rPr>
        <w:t>.</w:t>
      </w:r>
      <w:r w:rsidRPr="00C315C0">
        <w:rPr>
          <w:sz w:val="20"/>
          <w:szCs w:val="20"/>
        </w:rPr>
        <w:t xml:space="preserve"> </w:t>
      </w:r>
      <w:r>
        <w:rPr>
          <w:sz w:val="20"/>
          <w:szCs w:val="20"/>
        </w:rPr>
        <w:t>Chicago</w:t>
      </w:r>
      <w:r w:rsidRPr="00C315C0">
        <w:rPr>
          <w:sz w:val="20"/>
          <w:szCs w:val="20"/>
        </w:rPr>
        <w:t>: Open Court</w:t>
      </w:r>
      <w:r>
        <w:rPr>
          <w:sz w:val="20"/>
          <w:szCs w:val="20"/>
        </w:rPr>
        <w:t>.</w:t>
      </w:r>
    </w:p>
    <w:p w14:paraId="4CE1C6F6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>Chong, Kim Chong. 2008. “</w:t>
      </w:r>
      <w:proofErr w:type="spellStart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easysearch.lib.cuhk.edu.hk/primo_library/libweb/action/display.do?tabs=detailsTab&amp;ct=display&amp;fn=search&amp;doc=TN_wos000254883000006&amp;indx=77&amp;recIds=TN_wos000254883000006&amp;recIdxs=6&amp;elementId=6&amp;renderMode=poppedOut&amp;displayMode=full&amp;frbrVersion=&amp;fctN=facet_lang&amp;dscnt=0&amp;rfnGrp=1&amp;scp.scps=primo_central_multiple_fe&amp;fctV=eng&amp;tab=article_tab&amp;dstmp=1406519640670&amp;rfnGrpCounter=1&amp;vl(freeText0)=xunzi&amp;vid=CUHK" </w:instrText>
      </w:r>
      <w:r>
        <w:rPr>
          <w:sz w:val="20"/>
          <w:szCs w:val="20"/>
        </w:rPr>
        <w:fldChar w:fldCharType="separate"/>
      </w:r>
      <w:r w:rsidRPr="00971BA3">
        <w:rPr>
          <w:sz w:val="20"/>
          <w:szCs w:val="20"/>
        </w:rPr>
        <w:t>Xunzi</w:t>
      </w:r>
      <w:proofErr w:type="spellEnd"/>
      <w:r>
        <w:rPr>
          <w:sz w:val="20"/>
          <w:szCs w:val="20"/>
        </w:rPr>
        <w:t xml:space="preserve"> and the Essentialist Mode of Thinking on Human N</w:t>
      </w:r>
      <w:r w:rsidRPr="00971BA3">
        <w:rPr>
          <w:sz w:val="20"/>
          <w:szCs w:val="20"/>
        </w:rPr>
        <w:t>ature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.”</w:t>
      </w:r>
      <w:r w:rsidRPr="00971BA3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Journal o</w:t>
      </w:r>
      <w:r w:rsidRPr="00971BA3">
        <w:rPr>
          <w:i/>
          <w:sz w:val="20"/>
          <w:szCs w:val="20"/>
        </w:rPr>
        <w:t>f Chinese Philosophy</w:t>
      </w:r>
      <w:r>
        <w:rPr>
          <w:sz w:val="20"/>
          <w:szCs w:val="20"/>
        </w:rPr>
        <w:t xml:space="preserve"> </w:t>
      </w:r>
      <w:r w:rsidRPr="00971BA3">
        <w:rPr>
          <w:sz w:val="20"/>
          <w:szCs w:val="20"/>
        </w:rPr>
        <w:t>35</w:t>
      </w:r>
      <w:r>
        <w:rPr>
          <w:sz w:val="20"/>
          <w:szCs w:val="20"/>
        </w:rPr>
        <w:t xml:space="preserve">: </w:t>
      </w:r>
      <w:r w:rsidRPr="00971BA3">
        <w:rPr>
          <w:sz w:val="20"/>
          <w:szCs w:val="20"/>
        </w:rPr>
        <w:t>63-78</w:t>
      </w:r>
      <w:r>
        <w:rPr>
          <w:sz w:val="20"/>
          <w:szCs w:val="20"/>
        </w:rPr>
        <w:t>.</w:t>
      </w:r>
      <w:r w:rsidRPr="00C315C0">
        <w:rPr>
          <w:sz w:val="20"/>
          <w:szCs w:val="20"/>
        </w:rPr>
        <w:t xml:space="preserve"> </w:t>
      </w:r>
    </w:p>
    <w:p w14:paraId="0C9AAD87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Cua</w:t>
      </w:r>
      <w:proofErr w:type="spellEnd"/>
      <w:r>
        <w:rPr>
          <w:sz w:val="20"/>
          <w:szCs w:val="20"/>
        </w:rPr>
        <w:t xml:space="preserve">, Antonio S. 1977. “The Concept of Paradigmatic Individuals in the Ethics of Confucius.” </w:t>
      </w:r>
      <w:r>
        <w:rPr>
          <w:i/>
          <w:sz w:val="20"/>
          <w:szCs w:val="20"/>
        </w:rPr>
        <w:t xml:space="preserve">Inquiry </w:t>
      </w:r>
      <w:r>
        <w:rPr>
          <w:sz w:val="20"/>
          <w:szCs w:val="20"/>
        </w:rPr>
        <w:t>14: 41-55.</w:t>
      </w:r>
    </w:p>
    <w:p w14:paraId="24FFC593" w14:textId="77777777" w:rsidR="00D77625" w:rsidRPr="00BB1720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Cua</w:t>
      </w:r>
      <w:proofErr w:type="spellEnd"/>
      <w:r>
        <w:rPr>
          <w:sz w:val="20"/>
          <w:szCs w:val="20"/>
        </w:rPr>
        <w:t xml:space="preserve">, Antonio S. 1992. “Competence, Concern, and the Role of </w:t>
      </w:r>
      <w:proofErr w:type="spellStart"/>
      <w:r>
        <w:rPr>
          <w:sz w:val="20"/>
          <w:szCs w:val="20"/>
        </w:rPr>
        <w:t>Paradimatic</w:t>
      </w:r>
      <w:proofErr w:type="spellEnd"/>
      <w:r>
        <w:rPr>
          <w:sz w:val="20"/>
          <w:szCs w:val="20"/>
        </w:rPr>
        <w:t xml:space="preserve"> Individuals (</w:t>
      </w:r>
      <w:r>
        <w:rPr>
          <w:i/>
          <w:sz w:val="20"/>
          <w:szCs w:val="20"/>
        </w:rPr>
        <w:t>junzi</w:t>
      </w:r>
      <w:r>
        <w:rPr>
          <w:sz w:val="20"/>
          <w:szCs w:val="20"/>
        </w:rPr>
        <w:t xml:space="preserve">) in Moral Education.” </w:t>
      </w:r>
      <w:r>
        <w:rPr>
          <w:i/>
          <w:sz w:val="20"/>
          <w:szCs w:val="20"/>
        </w:rPr>
        <w:t>Philosophy East and West</w:t>
      </w:r>
      <w:r>
        <w:rPr>
          <w:sz w:val="20"/>
          <w:szCs w:val="20"/>
        </w:rPr>
        <w:t>. 42: 49-68.</w:t>
      </w:r>
    </w:p>
    <w:p w14:paraId="034B4E5B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Cua</w:t>
      </w:r>
      <w:proofErr w:type="spellEnd"/>
      <w:r>
        <w:rPr>
          <w:sz w:val="20"/>
          <w:szCs w:val="20"/>
        </w:rPr>
        <w:t xml:space="preserve">, Antonio S. 2005. </w:t>
      </w:r>
      <w:r>
        <w:rPr>
          <w:i/>
          <w:sz w:val="20"/>
          <w:szCs w:val="20"/>
        </w:rPr>
        <w:t xml:space="preserve">Human Nature, Ritual, and History: Studies in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i/>
          <w:sz w:val="20"/>
          <w:szCs w:val="20"/>
        </w:rPr>
        <w:t xml:space="preserve"> and Chinese Philosophy. </w:t>
      </w:r>
      <w:r>
        <w:rPr>
          <w:sz w:val="20"/>
          <w:szCs w:val="20"/>
        </w:rPr>
        <w:t>Washington, D.C.: The Catholic University of America Press.</w:t>
      </w:r>
    </w:p>
    <w:p w14:paraId="3BEAE3EE" w14:textId="77777777" w:rsidR="00D77625" w:rsidRPr="00914B16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Finlay, Stephen. 2012. “Reasons for Action: Internal vs. External.” </w:t>
      </w:r>
      <w:r>
        <w:rPr>
          <w:i/>
          <w:sz w:val="20"/>
          <w:szCs w:val="20"/>
        </w:rPr>
        <w:t>Stanford Encyclopedia of Philosophy</w:t>
      </w:r>
      <w:r>
        <w:rPr>
          <w:sz w:val="20"/>
          <w:szCs w:val="20"/>
        </w:rPr>
        <w:t>.</w:t>
      </w:r>
    </w:p>
    <w:p w14:paraId="3D36ECC4" w14:textId="77777777" w:rsidR="00D77625" w:rsidRPr="00B92CDA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Goldin, Paul R. 2000. </w:t>
      </w:r>
      <w:r>
        <w:rPr>
          <w:i/>
          <w:sz w:val="20"/>
          <w:szCs w:val="20"/>
        </w:rPr>
        <w:t xml:space="preserve">Rituals of the Way: The Philosophy of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sz w:val="20"/>
          <w:szCs w:val="20"/>
        </w:rPr>
        <w:t>. Chicago: Open Court.</w:t>
      </w:r>
    </w:p>
    <w:p w14:paraId="7F25E3BB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Graham, A.C. 2002. “The Background of the </w:t>
      </w:r>
      <w:proofErr w:type="spellStart"/>
      <w:r>
        <w:rPr>
          <w:sz w:val="20"/>
          <w:szCs w:val="20"/>
        </w:rPr>
        <w:t>Mencian</w:t>
      </w:r>
      <w:proofErr w:type="spellEnd"/>
      <w:r>
        <w:rPr>
          <w:sz w:val="20"/>
          <w:szCs w:val="20"/>
        </w:rPr>
        <w:t xml:space="preserve"> [</w:t>
      </w:r>
      <w:proofErr w:type="spellStart"/>
      <w:r>
        <w:rPr>
          <w:sz w:val="20"/>
          <w:szCs w:val="20"/>
        </w:rPr>
        <w:t>Mengzian</w:t>
      </w:r>
      <w:proofErr w:type="spellEnd"/>
      <w:r>
        <w:rPr>
          <w:sz w:val="20"/>
          <w:szCs w:val="20"/>
        </w:rPr>
        <w:t xml:space="preserve">] Theory of Human Nature.” In </w:t>
      </w:r>
      <w:proofErr w:type="spellStart"/>
      <w:r>
        <w:rPr>
          <w:sz w:val="20"/>
          <w:szCs w:val="20"/>
        </w:rPr>
        <w:t>Xiusheng</w:t>
      </w:r>
      <w:proofErr w:type="spellEnd"/>
      <w:r>
        <w:rPr>
          <w:sz w:val="20"/>
          <w:szCs w:val="20"/>
        </w:rPr>
        <w:t xml:space="preserve"> Liu and Philip J. Ivanhoe, eds., 2002, pp. 1-63.</w:t>
      </w:r>
    </w:p>
    <w:p w14:paraId="6B9E768A" w14:textId="77777777" w:rsidR="00D77625" w:rsidRPr="00612D8D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>Graham, A.C. 1989. “</w:t>
      </w:r>
      <w:proofErr w:type="spellStart"/>
      <w:r>
        <w:rPr>
          <w:sz w:val="20"/>
          <w:szCs w:val="20"/>
        </w:rPr>
        <w:t>Hsun-tzu’s</w:t>
      </w:r>
      <w:proofErr w:type="spellEnd"/>
      <w:r>
        <w:rPr>
          <w:sz w:val="20"/>
          <w:szCs w:val="20"/>
        </w:rPr>
        <w:t xml:space="preserve"> Confucianism.” In </w:t>
      </w:r>
      <w:r>
        <w:rPr>
          <w:i/>
          <w:sz w:val="20"/>
          <w:szCs w:val="20"/>
        </w:rPr>
        <w:t>Disputers of the Tao: Philosophical Argument in Ancient China</w:t>
      </w:r>
      <w:r>
        <w:rPr>
          <w:sz w:val="20"/>
          <w:szCs w:val="20"/>
        </w:rPr>
        <w:t>. Chicago: Open Court, pp. 235-266.</w:t>
      </w:r>
    </w:p>
    <w:p w14:paraId="393684D8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Fun, </w:t>
      </w:r>
      <w:proofErr w:type="spellStart"/>
      <w:r>
        <w:rPr>
          <w:sz w:val="20"/>
          <w:szCs w:val="20"/>
        </w:rPr>
        <w:t>Yiu-ming</w:t>
      </w:r>
      <w:proofErr w:type="spellEnd"/>
      <w:r>
        <w:rPr>
          <w:sz w:val="20"/>
          <w:szCs w:val="20"/>
        </w:rPr>
        <w:t>. 2012. “</w:t>
      </w:r>
      <w:hyperlink r:id="rId7" w:history="1">
        <w:r w:rsidRPr="006144E1">
          <w:rPr>
            <w:sz w:val="20"/>
            <w:szCs w:val="20"/>
          </w:rPr>
          <w:t xml:space="preserve">Two Senses </w:t>
        </w:r>
        <w:r>
          <w:rPr>
            <w:sz w:val="20"/>
            <w:szCs w:val="20"/>
          </w:rPr>
          <w:t>of ‘Wei’</w:t>
        </w:r>
        <w:r w:rsidRPr="006144E1">
          <w:rPr>
            <w:sz w:val="20"/>
            <w:szCs w:val="20"/>
          </w:rPr>
          <w:t xml:space="preserve">: A New Interpretation of </w:t>
        </w:r>
        <w:proofErr w:type="spellStart"/>
        <w:r w:rsidRPr="006144E1">
          <w:rPr>
            <w:sz w:val="20"/>
            <w:szCs w:val="20"/>
          </w:rPr>
          <w:t>Xunzi's</w:t>
        </w:r>
        <w:proofErr w:type="spellEnd"/>
        <w:r w:rsidRPr="006144E1">
          <w:rPr>
            <w:sz w:val="20"/>
            <w:szCs w:val="20"/>
          </w:rPr>
          <w:t xml:space="preserve"> Theory of Human Nature</w:t>
        </w:r>
      </w:hyperlink>
      <w:r>
        <w:rPr>
          <w:sz w:val="20"/>
          <w:szCs w:val="20"/>
        </w:rPr>
        <w:t>.”</w:t>
      </w:r>
      <w:r w:rsidRPr="006144E1">
        <w:rPr>
          <w:sz w:val="20"/>
          <w:szCs w:val="20"/>
        </w:rPr>
        <w:t xml:space="preserve"> </w:t>
      </w:r>
      <w:r w:rsidRPr="006144E1">
        <w:rPr>
          <w:i/>
          <w:sz w:val="20"/>
          <w:szCs w:val="20"/>
        </w:rPr>
        <w:t xml:space="preserve">Dao: A Journal </w:t>
      </w:r>
      <w:proofErr w:type="gramStart"/>
      <w:r w:rsidRPr="006144E1">
        <w:rPr>
          <w:i/>
          <w:sz w:val="20"/>
          <w:szCs w:val="20"/>
        </w:rPr>
        <w:t>Of</w:t>
      </w:r>
      <w:proofErr w:type="gramEnd"/>
      <w:r w:rsidRPr="006144E1">
        <w:rPr>
          <w:i/>
          <w:sz w:val="20"/>
          <w:szCs w:val="20"/>
        </w:rPr>
        <w:t xml:space="preserve"> Comparative Philosophy</w:t>
      </w:r>
      <w:r>
        <w:rPr>
          <w:sz w:val="20"/>
          <w:szCs w:val="20"/>
        </w:rPr>
        <w:t xml:space="preserve"> </w:t>
      </w:r>
      <w:r w:rsidRPr="006144E1">
        <w:rPr>
          <w:sz w:val="20"/>
          <w:szCs w:val="20"/>
        </w:rPr>
        <w:t>11</w:t>
      </w:r>
      <w:r>
        <w:rPr>
          <w:sz w:val="20"/>
          <w:szCs w:val="20"/>
        </w:rPr>
        <w:t xml:space="preserve">: </w:t>
      </w:r>
      <w:r w:rsidRPr="006144E1">
        <w:rPr>
          <w:sz w:val="20"/>
          <w:szCs w:val="20"/>
        </w:rPr>
        <w:t>187-200</w:t>
      </w:r>
      <w:r>
        <w:rPr>
          <w:sz w:val="20"/>
          <w:szCs w:val="20"/>
        </w:rPr>
        <w:t>.</w:t>
      </w:r>
    </w:p>
    <w:p w14:paraId="7A9169F3" w14:textId="77777777" w:rsidR="00D77625" w:rsidRPr="00B321FE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Hagen, Kurtis. 2000. “A Critical Review of Ivanhoe on </w:t>
      </w:r>
      <w:proofErr w:type="spellStart"/>
      <w:r>
        <w:rPr>
          <w:sz w:val="20"/>
          <w:szCs w:val="20"/>
        </w:rPr>
        <w:t>Xunzi</w:t>
      </w:r>
      <w:proofErr w:type="spellEnd"/>
      <w:r>
        <w:rPr>
          <w:sz w:val="20"/>
          <w:szCs w:val="20"/>
        </w:rPr>
        <w:t xml:space="preserve">.” </w:t>
      </w:r>
      <w:r w:rsidRPr="00B321FE">
        <w:rPr>
          <w:i/>
          <w:sz w:val="20"/>
          <w:szCs w:val="20"/>
        </w:rPr>
        <w:t xml:space="preserve">Journal of Chinese Philosophy </w:t>
      </w:r>
      <w:r>
        <w:rPr>
          <w:sz w:val="20"/>
          <w:szCs w:val="20"/>
        </w:rPr>
        <w:t>27:</w:t>
      </w:r>
      <w:r w:rsidRPr="00B321FE">
        <w:rPr>
          <w:sz w:val="20"/>
          <w:szCs w:val="20"/>
        </w:rPr>
        <w:t xml:space="preserve"> 361–373</w:t>
      </w:r>
      <w:r>
        <w:rPr>
          <w:sz w:val="20"/>
          <w:szCs w:val="20"/>
        </w:rPr>
        <w:t>.</w:t>
      </w:r>
    </w:p>
    <w:p w14:paraId="379A9121" w14:textId="77777777" w:rsidR="00D77625" w:rsidRPr="00C72E84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>Hagen, Kurtis 2003. “</w:t>
      </w:r>
      <w:proofErr w:type="spellStart"/>
      <w:r>
        <w:rPr>
          <w:sz w:val="20"/>
          <w:szCs w:val="20"/>
        </w:rPr>
        <w:t>Xunzi</w:t>
      </w:r>
      <w:proofErr w:type="spellEnd"/>
      <w:r>
        <w:rPr>
          <w:sz w:val="20"/>
          <w:szCs w:val="20"/>
        </w:rPr>
        <w:t xml:space="preserve"> and the Nature of Confucian Ritual.” </w:t>
      </w:r>
      <w:r>
        <w:rPr>
          <w:i/>
          <w:sz w:val="20"/>
          <w:szCs w:val="20"/>
        </w:rPr>
        <w:t>Journal of the American Academy of Religion</w:t>
      </w:r>
      <w:r>
        <w:rPr>
          <w:sz w:val="20"/>
          <w:szCs w:val="20"/>
        </w:rPr>
        <w:t xml:space="preserve"> 71: 371-403.</w:t>
      </w:r>
    </w:p>
    <w:p w14:paraId="3FBE7096" w14:textId="77777777" w:rsidR="00D77625" w:rsidRPr="00B92CDA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Hagen, Kurtis. 2007. </w:t>
      </w:r>
      <w:r>
        <w:rPr>
          <w:i/>
          <w:sz w:val="20"/>
          <w:szCs w:val="20"/>
        </w:rPr>
        <w:t xml:space="preserve">The Philosophy of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i/>
          <w:sz w:val="20"/>
          <w:szCs w:val="20"/>
        </w:rPr>
        <w:t>: A Reconstruction</w:t>
      </w:r>
      <w:r>
        <w:rPr>
          <w:sz w:val="20"/>
          <w:szCs w:val="20"/>
        </w:rPr>
        <w:t>. Chicago: Open Court.</w:t>
      </w:r>
    </w:p>
    <w:p w14:paraId="07F1FCEB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 w:rsidRPr="007E6DE9">
        <w:rPr>
          <w:sz w:val="20"/>
          <w:szCs w:val="20"/>
        </w:rPr>
        <w:t>Hagen, K</w:t>
      </w:r>
      <w:r>
        <w:rPr>
          <w:sz w:val="20"/>
          <w:szCs w:val="20"/>
        </w:rPr>
        <w:t>urtis 2011. “</w:t>
      </w:r>
      <w:proofErr w:type="spellStart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easysearch.lib.cuhk.edu.hk/primo_library/libweb/action/display.do?tabs=detailsTab&amp;ct=display&amp;fn=search&amp;doc=TN_wos000290674900003&amp;indx=22&amp;recIds=TN_wos000290674900003&amp;recIdxs=1&amp;elementId=1&amp;renderMode=poppedOut&amp;displayMode=full&amp;frbrVersion=&amp;fctN=facet_lang&amp;dscnt=0&amp;rfnGrp=1&amp;scp.scps=primo_central_multiple_fe&amp;fctV=eng&amp;tab=article_tab&amp;dstmp=1406518162195&amp;rfnGrpCounter=1&amp;vl(freeText0)=xunzi&amp;vid=CUHK" </w:instrText>
      </w:r>
      <w:r>
        <w:rPr>
          <w:sz w:val="20"/>
          <w:szCs w:val="20"/>
        </w:rPr>
        <w:fldChar w:fldCharType="separate"/>
      </w:r>
      <w:r w:rsidRPr="007E6DE9">
        <w:rPr>
          <w:sz w:val="20"/>
          <w:szCs w:val="20"/>
        </w:rPr>
        <w:t>Xunzi</w:t>
      </w:r>
      <w:proofErr w:type="spellEnd"/>
      <w:r w:rsidRPr="007E6DE9">
        <w:rPr>
          <w:sz w:val="20"/>
          <w:szCs w:val="20"/>
        </w:rPr>
        <w:t xml:space="preserve"> and the Prudence of Dao: Desire as the Motive to Become Good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.”</w:t>
      </w:r>
      <w:r w:rsidRPr="007E6DE9">
        <w:rPr>
          <w:sz w:val="20"/>
          <w:szCs w:val="20"/>
        </w:rPr>
        <w:t xml:space="preserve"> </w:t>
      </w:r>
      <w:r w:rsidRPr="007E6DE9">
        <w:rPr>
          <w:i/>
          <w:sz w:val="20"/>
          <w:szCs w:val="20"/>
        </w:rPr>
        <w:t>Dao: A</w:t>
      </w:r>
      <w:r>
        <w:rPr>
          <w:i/>
          <w:sz w:val="20"/>
          <w:szCs w:val="20"/>
        </w:rPr>
        <w:t xml:space="preserve"> Journal o</w:t>
      </w:r>
      <w:r w:rsidRPr="007E6DE9">
        <w:rPr>
          <w:i/>
          <w:sz w:val="20"/>
          <w:szCs w:val="20"/>
        </w:rPr>
        <w:t>f Comparative Philosophy</w:t>
      </w:r>
      <w:r>
        <w:rPr>
          <w:sz w:val="20"/>
          <w:szCs w:val="20"/>
        </w:rPr>
        <w:t xml:space="preserve"> </w:t>
      </w:r>
      <w:r w:rsidRPr="007E6DE9">
        <w:rPr>
          <w:sz w:val="20"/>
          <w:szCs w:val="20"/>
        </w:rPr>
        <w:t>10</w:t>
      </w:r>
      <w:r>
        <w:rPr>
          <w:sz w:val="20"/>
          <w:szCs w:val="20"/>
        </w:rPr>
        <w:t xml:space="preserve">: </w:t>
      </w:r>
      <w:r w:rsidRPr="007E6DE9">
        <w:rPr>
          <w:sz w:val="20"/>
          <w:szCs w:val="20"/>
        </w:rPr>
        <w:t>53-70</w:t>
      </w:r>
      <w:r>
        <w:rPr>
          <w:sz w:val="20"/>
          <w:szCs w:val="20"/>
        </w:rPr>
        <w:t>.</w:t>
      </w:r>
    </w:p>
    <w:p w14:paraId="69806F5A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Harod</w:t>
      </w:r>
      <w:proofErr w:type="spellEnd"/>
      <w:r>
        <w:rPr>
          <w:sz w:val="20"/>
          <w:szCs w:val="20"/>
        </w:rPr>
        <w:t>, James. 2011. “</w:t>
      </w:r>
      <w:hyperlink r:id="rId8" w:history="1">
        <w:r w:rsidRPr="006144E1">
          <w:rPr>
            <w:sz w:val="20"/>
            <w:szCs w:val="20"/>
          </w:rPr>
          <w:t xml:space="preserve">Is </w:t>
        </w:r>
        <w:proofErr w:type="spellStart"/>
        <w:r w:rsidRPr="006144E1">
          <w:rPr>
            <w:sz w:val="20"/>
            <w:szCs w:val="20"/>
          </w:rPr>
          <w:t>Xunzi's</w:t>
        </w:r>
        <w:proofErr w:type="spellEnd"/>
        <w:r w:rsidRPr="006144E1">
          <w:rPr>
            <w:sz w:val="20"/>
            <w:szCs w:val="20"/>
          </w:rPr>
          <w:t xml:space="preserve"> Virtue Ethics Susceptible to the Problem of Alienation?</w:t>
        </w:r>
      </w:hyperlink>
      <w:r>
        <w:rPr>
          <w:sz w:val="20"/>
          <w:szCs w:val="20"/>
        </w:rPr>
        <w:t xml:space="preserve">” </w:t>
      </w:r>
      <w:r w:rsidRPr="006144E1">
        <w:rPr>
          <w:i/>
          <w:sz w:val="20"/>
          <w:szCs w:val="20"/>
        </w:rPr>
        <w:t>Dao: A Journal of Comparative Philosophy</w:t>
      </w:r>
      <w:r>
        <w:rPr>
          <w:i/>
          <w:sz w:val="20"/>
          <w:szCs w:val="20"/>
        </w:rPr>
        <w:t xml:space="preserve"> </w:t>
      </w:r>
      <w:r w:rsidRPr="006144E1">
        <w:rPr>
          <w:sz w:val="20"/>
          <w:szCs w:val="20"/>
        </w:rPr>
        <w:t>10</w:t>
      </w:r>
      <w:r>
        <w:rPr>
          <w:sz w:val="20"/>
          <w:szCs w:val="20"/>
        </w:rPr>
        <w:t xml:space="preserve">: </w:t>
      </w:r>
      <w:r w:rsidRPr="006144E1">
        <w:rPr>
          <w:sz w:val="20"/>
          <w:szCs w:val="20"/>
        </w:rPr>
        <w:t>71-84</w:t>
      </w:r>
      <w:r>
        <w:rPr>
          <w:sz w:val="20"/>
          <w:szCs w:val="20"/>
        </w:rPr>
        <w:t>.</w:t>
      </w:r>
    </w:p>
    <w:p w14:paraId="7F3CC16F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Harris, </w:t>
      </w:r>
      <w:proofErr w:type="spellStart"/>
      <w:r>
        <w:rPr>
          <w:sz w:val="20"/>
          <w:szCs w:val="20"/>
        </w:rPr>
        <w:t>Eiril</w:t>
      </w:r>
      <w:proofErr w:type="spellEnd"/>
      <w:r>
        <w:rPr>
          <w:sz w:val="20"/>
          <w:szCs w:val="20"/>
        </w:rPr>
        <w:t>. 2013. “</w:t>
      </w:r>
      <w:hyperlink r:id="rId9" w:history="1">
        <w:r w:rsidRPr="006144E1">
          <w:rPr>
            <w:sz w:val="20"/>
            <w:szCs w:val="20"/>
          </w:rPr>
          <w:t xml:space="preserve">The Role of Virtue in </w:t>
        </w:r>
        <w:proofErr w:type="spellStart"/>
        <w:r w:rsidRPr="006144E1">
          <w:rPr>
            <w:sz w:val="20"/>
            <w:szCs w:val="20"/>
          </w:rPr>
          <w:t>Xunzi’s</w:t>
        </w:r>
        <w:proofErr w:type="spellEnd"/>
        <w:r w:rsidRPr="006144E1">
          <w:rPr>
            <w:sz w:val="20"/>
            <w:szCs w:val="20"/>
          </w:rPr>
          <w:t xml:space="preserve"> </w:t>
        </w:r>
        <w:r w:rsidRPr="006144E1">
          <w:rPr>
            <w:sz w:val="20"/>
            <w:szCs w:val="20"/>
          </w:rPr>
          <w:t>荀子</w:t>
        </w:r>
        <w:r w:rsidRPr="006144E1">
          <w:rPr>
            <w:sz w:val="20"/>
            <w:szCs w:val="20"/>
          </w:rPr>
          <w:t xml:space="preserve"> Political Philosophy</w:t>
        </w:r>
      </w:hyperlink>
      <w:r>
        <w:rPr>
          <w:sz w:val="20"/>
          <w:szCs w:val="20"/>
        </w:rPr>
        <w:t xml:space="preserve">.” </w:t>
      </w:r>
      <w:r w:rsidRPr="006144E1">
        <w:rPr>
          <w:i/>
          <w:sz w:val="20"/>
          <w:szCs w:val="20"/>
        </w:rPr>
        <w:t>Dao</w:t>
      </w:r>
      <w:r>
        <w:rPr>
          <w:sz w:val="20"/>
          <w:szCs w:val="20"/>
        </w:rPr>
        <w:t xml:space="preserve"> </w:t>
      </w:r>
      <w:r w:rsidRPr="006144E1">
        <w:rPr>
          <w:sz w:val="20"/>
          <w:szCs w:val="20"/>
        </w:rPr>
        <w:t>12</w:t>
      </w:r>
      <w:r>
        <w:rPr>
          <w:sz w:val="20"/>
          <w:szCs w:val="20"/>
        </w:rPr>
        <w:t xml:space="preserve">: </w:t>
      </w:r>
      <w:r w:rsidRPr="006144E1">
        <w:rPr>
          <w:sz w:val="20"/>
          <w:szCs w:val="20"/>
        </w:rPr>
        <w:t>93-110</w:t>
      </w:r>
      <w:r>
        <w:rPr>
          <w:sz w:val="20"/>
          <w:szCs w:val="20"/>
        </w:rPr>
        <w:t>.</w:t>
      </w:r>
    </w:p>
    <w:p w14:paraId="58D5B52F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</w:rPr>
        <w:t>Huang</w:t>
      </w:r>
      <w:r>
        <w:rPr>
          <w:sz w:val="20"/>
          <w:szCs w:val="20"/>
          <w:lang w:eastAsia="zh-CN"/>
        </w:rPr>
        <w:t xml:space="preserve">, Yong. 2013. </w:t>
      </w:r>
      <w:r>
        <w:rPr>
          <w:i/>
          <w:sz w:val="20"/>
          <w:szCs w:val="20"/>
          <w:lang w:eastAsia="zh-CN"/>
        </w:rPr>
        <w:t>Confucius: A Guide for the Perplexed</w:t>
      </w:r>
      <w:r>
        <w:rPr>
          <w:sz w:val="20"/>
          <w:szCs w:val="20"/>
          <w:lang w:eastAsia="zh-CN"/>
        </w:rPr>
        <w:t>. London: Bloomsbury.</w:t>
      </w:r>
    </w:p>
    <w:p w14:paraId="1994C1A4" w14:textId="77777777" w:rsidR="00D77625" w:rsidRPr="00C01C83" w:rsidRDefault="00D77625" w:rsidP="00D77625">
      <w:pPr>
        <w:pStyle w:val="BodyText"/>
        <w:adjustRightInd w:val="0"/>
        <w:snapToGrid w:val="0"/>
        <w:spacing w:beforeLines="50" w:before="120" w:after="120"/>
        <w:rPr>
          <w:i/>
          <w:sz w:val="20"/>
          <w:szCs w:val="20"/>
        </w:rPr>
      </w:pPr>
      <w:r w:rsidRPr="00C01C83">
        <w:rPr>
          <w:sz w:val="20"/>
          <w:szCs w:val="20"/>
        </w:rPr>
        <w:t xml:space="preserve">Huang, Yong, 2015. </w:t>
      </w:r>
      <w:r>
        <w:rPr>
          <w:sz w:val="20"/>
          <w:szCs w:val="20"/>
        </w:rPr>
        <w:t>“</w:t>
      </w:r>
      <w:r w:rsidRPr="00C01C83">
        <w:rPr>
          <w:i/>
          <w:sz w:val="20"/>
          <w:szCs w:val="20"/>
        </w:rPr>
        <w:t>Yin</w:t>
      </w:r>
      <w:r w:rsidRPr="00C01C83">
        <w:rPr>
          <w:sz w:val="20"/>
          <w:szCs w:val="20"/>
        </w:rPr>
        <w:t xml:space="preserve"> (Non-Disclosure/Rectification), </w:t>
      </w:r>
      <w:proofErr w:type="spellStart"/>
      <w:r w:rsidRPr="00C01C83">
        <w:rPr>
          <w:i/>
          <w:sz w:val="20"/>
          <w:szCs w:val="20"/>
        </w:rPr>
        <w:t>Zhi</w:t>
      </w:r>
      <w:proofErr w:type="spellEnd"/>
      <w:r w:rsidRPr="00C01C83">
        <w:rPr>
          <w:sz w:val="20"/>
          <w:szCs w:val="20"/>
        </w:rPr>
        <w:t xml:space="preserve"> (Fairness/Straightforwardness), and </w:t>
      </w:r>
      <w:r w:rsidRPr="00C01C83">
        <w:rPr>
          <w:i/>
          <w:sz w:val="20"/>
          <w:szCs w:val="20"/>
        </w:rPr>
        <w:t xml:space="preserve">Ren </w:t>
      </w:r>
      <w:r w:rsidRPr="00C01C83">
        <w:rPr>
          <w:sz w:val="20"/>
          <w:szCs w:val="20"/>
        </w:rPr>
        <w:t xml:space="preserve">(Responsibility): A New Round of Debate Concerning </w:t>
      </w:r>
      <w:r w:rsidRPr="00C01C83">
        <w:rPr>
          <w:i/>
          <w:sz w:val="20"/>
          <w:szCs w:val="20"/>
        </w:rPr>
        <w:t>Analects</w:t>
      </w:r>
      <w:r w:rsidRPr="00C01C83">
        <w:rPr>
          <w:sz w:val="20"/>
          <w:szCs w:val="20"/>
        </w:rPr>
        <w:t xml:space="preserve"> 13.18</w:t>
      </w:r>
      <w:r>
        <w:rPr>
          <w:sz w:val="20"/>
          <w:szCs w:val="20"/>
        </w:rPr>
        <w:t xml:space="preserve">.” </w:t>
      </w:r>
      <w:r>
        <w:rPr>
          <w:i/>
          <w:sz w:val="20"/>
          <w:szCs w:val="20"/>
        </w:rPr>
        <w:t>Contemporary Chinese Thought.</w:t>
      </w:r>
    </w:p>
    <w:p w14:paraId="67639F25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Hutton, Eric. 2000. “Does </w:t>
      </w:r>
      <w:proofErr w:type="spellStart"/>
      <w:r>
        <w:rPr>
          <w:sz w:val="20"/>
          <w:szCs w:val="20"/>
        </w:rPr>
        <w:t>Xunzi</w:t>
      </w:r>
      <w:proofErr w:type="spellEnd"/>
      <w:r>
        <w:rPr>
          <w:sz w:val="20"/>
          <w:szCs w:val="20"/>
        </w:rPr>
        <w:t xml:space="preserve"> Have a Consistent Theory of Human Nature?” In T.C. Kline, III, and Philip J. Ivanhoe, ed., </w:t>
      </w:r>
      <w:r>
        <w:rPr>
          <w:i/>
          <w:sz w:val="20"/>
          <w:szCs w:val="20"/>
        </w:rPr>
        <w:t xml:space="preserve">Virtue, Nature, and Moral Agency in the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sz w:val="20"/>
          <w:szCs w:val="20"/>
        </w:rPr>
        <w:t>. Indianapolis/Cambridge: Hackett Publishing Company, 220-236.</w:t>
      </w:r>
    </w:p>
    <w:p w14:paraId="73DD3444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 w:rsidRPr="00971BA3">
        <w:rPr>
          <w:sz w:val="20"/>
          <w:szCs w:val="20"/>
        </w:rPr>
        <w:t>Hutton, Eric L.</w:t>
      </w:r>
      <w:r>
        <w:rPr>
          <w:sz w:val="20"/>
          <w:szCs w:val="20"/>
        </w:rPr>
        <w:t xml:space="preserve"> 2006. “</w:t>
      </w:r>
      <w:hyperlink r:id="rId10" w:history="1">
        <w:r w:rsidRPr="00971BA3">
          <w:rPr>
            <w:sz w:val="20"/>
            <w:szCs w:val="20"/>
          </w:rPr>
          <w:t>Character, Situationism, and Early Confucian Thought</w:t>
        </w:r>
      </w:hyperlink>
      <w:r>
        <w:rPr>
          <w:sz w:val="20"/>
          <w:szCs w:val="20"/>
        </w:rPr>
        <w:t xml:space="preserve">.” </w:t>
      </w:r>
      <w:r w:rsidRPr="00971BA3">
        <w:rPr>
          <w:i/>
          <w:sz w:val="20"/>
          <w:szCs w:val="20"/>
        </w:rPr>
        <w:t>Philosophical Studies: An International Journal for Philosophy in the Analytic Tradition</w:t>
      </w:r>
      <w:r>
        <w:rPr>
          <w:sz w:val="20"/>
          <w:szCs w:val="20"/>
        </w:rPr>
        <w:t xml:space="preserve"> </w:t>
      </w:r>
      <w:r w:rsidRPr="00971BA3">
        <w:rPr>
          <w:sz w:val="20"/>
          <w:szCs w:val="20"/>
        </w:rPr>
        <w:t>12</w:t>
      </w:r>
      <w:r>
        <w:rPr>
          <w:sz w:val="20"/>
          <w:szCs w:val="20"/>
        </w:rPr>
        <w:t xml:space="preserve">: </w:t>
      </w:r>
      <w:r w:rsidRPr="00971BA3">
        <w:rPr>
          <w:sz w:val="20"/>
          <w:szCs w:val="20"/>
        </w:rPr>
        <w:t>37-59</w:t>
      </w:r>
      <w:r>
        <w:rPr>
          <w:sz w:val="20"/>
          <w:szCs w:val="20"/>
        </w:rPr>
        <w:t>.</w:t>
      </w:r>
    </w:p>
    <w:p w14:paraId="082B0F24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Ihara, Craig. 1991. “Wong, David on Emotions in Mencius.” </w:t>
      </w:r>
      <w:r w:rsidRPr="00AE0D44">
        <w:rPr>
          <w:i/>
          <w:sz w:val="20"/>
          <w:szCs w:val="20"/>
        </w:rPr>
        <w:t>Philosophy East &amp; West</w:t>
      </w:r>
      <w:r>
        <w:rPr>
          <w:sz w:val="20"/>
          <w:szCs w:val="20"/>
        </w:rPr>
        <w:t xml:space="preserve">: </w:t>
      </w:r>
      <w:r w:rsidRPr="003E7C5C">
        <w:rPr>
          <w:sz w:val="20"/>
          <w:szCs w:val="20"/>
        </w:rPr>
        <w:t>41</w:t>
      </w:r>
      <w:r>
        <w:rPr>
          <w:sz w:val="20"/>
          <w:szCs w:val="20"/>
        </w:rPr>
        <w:t xml:space="preserve">: </w:t>
      </w:r>
      <w:r w:rsidRPr="003E7C5C">
        <w:rPr>
          <w:sz w:val="20"/>
          <w:szCs w:val="20"/>
        </w:rPr>
        <w:t>45-53</w:t>
      </w:r>
      <w:r>
        <w:rPr>
          <w:sz w:val="20"/>
          <w:szCs w:val="20"/>
        </w:rPr>
        <w:t>.</w:t>
      </w:r>
    </w:p>
    <w:p w14:paraId="76F0840F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>, M. 1999. “</w:t>
      </w:r>
      <w:hyperlink r:id="rId11" w:history="1">
        <w:r w:rsidRPr="00AE0D44">
          <w:rPr>
            <w:sz w:val="20"/>
            <w:szCs w:val="20"/>
          </w:rPr>
          <w:t>Emoti</w:t>
        </w:r>
        <w:r>
          <w:rPr>
            <w:sz w:val="20"/>
            <w:szCs w:val="20"/>
          </w:rPr>
          <w:t>onal control and virtue in the ‘</w:t>
        </w:r>
        <w:r w:rsidRPr="00AE0D44">
          <w:rPr>
            <w:sz w:val="20"/>
            <w:szCs w:val="20"/>
          </w:rPr>
          <w:t>Mencius</w:t>
        </w:r>
        <w:r>
          <w:rPr>
            <w:sz w:val="20"/>
            <w:szCs w:val="20"/>
          </w:rPr>
          <w:t xml:space="preserve">’.” </w:t>
        </w:r>
        <w:r w:rsidRPr="00AE0D44">
          <w:rPr>
            <w:i/>
            <w:sz w:val="20"/>
            <w:szCs w:val="20"/>
          </w:rPr>
          <w:t>Philosophy East &amp; West</w:t>
        </w:r>
        <w:r>
          <w:rPr>
            <w:i/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49: 1-27. </w:t>
        </w:r>
      </w:hyperlink>
    </w:p>
    <w:p w14:paraId="04072532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>, M</w:t>
      </w:r>
      <w:r w:rsidRPr="00967249">
        <w:rPr>
          <w:sz w:val="20"/>
          <w:szCs w:val="20"/>
        </w:rPr>
        <w:t>. 2011. “Mencius as Consequentialist.” In Chris Fraser, Dan Robins, and Timothy O’Leary, eds.</w:t>
      </w:r>
      <w:r>
        <w:rPr>
          <w:sz w:val="20"/>
          <w:szCs w:val="20"/>
        </w:rPr>
        <w:t>,</w:t>
      </w:r>
      <w:r w:rsidRPr="00967249">
        <w:rPr>
          <w:sz w:val="20"/>
          <w:szCs w:val="20"/>
        </w:rPr>
        <w:t xml:space="preserve"> </w:t>
      </w:r>
      <w:r w:rsidRPr="00967249">
        <w:rPr>
          <w:i/>
          <w:sz w:val="20"/>
          <w:szCs w:val="20"/>
        </w:rPr>
        <w:t>Ethics in Early China: An Anthology</w:t>
      </w:r>
      <w:r w:rsidRPr="00967249">
        <w:rPr>
          <w:sz w:val="20"/>
          <w:szCs w:val="20"/>
        </w:rPr>
        <w:t>. Hong Ko</w:t>
      </w:r>
      <w:r>
        <w:rPr>
          <w:sz w:val="20"/>
          <w:szCs w:val="20"/>
        </w:rPr>
        <w:t>ng: Hong Kong University Press.</w:t>
      </w:r>
    </w:p>
    <w:p w14:paraId="212A9874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Ivanhoe, Philip J. 1990. “Reweaving the One Thread of the </w:t>
      </w:r>
      <w:r>
        <w:rPr>
          <w:i/>
          <w:sz w:val="20"/>
          <w:szCs w:val="20"/>
        </w:rPr>
        <w:t>Analects.</w:t>
      </w:r>
      <w:r>
        <w:rPr>
          <w:sz w:val="20"/>
          <w:szCs w:val="20"/>
        </w:rPr>
        <w:t xml:space="preserve">” </w:t>
      </w:r>
      <w:r>
        <w:rPr>
          <w:i/>
          <w:sz w:val="20"/>
          <w:szCs w:val="20"/>
        </w:rPr>
        <w:t>Philosophy East and West</w:t>
      </w:r>
      <w:r>
        <w:rPr>
          <w:sz w:val="20"/>
          <w:szCs w:val="20"/>
        </w:rPr>
        <w:t xml:space="preserve"> 40: 17-33.</w:t>
      </w:r>
    </w:p>
    <w:p w14:paraId="7A2750D6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Ivanhoe, Philip. 1991. “Character Consequentialism: An Early Confucian Contribution to Contemporary Ethical Theory.” </w:t>
      </w:r>
      <w:r>
        <w:rPr>
          <w:i/>
          <w:sz w:val="20"/>
          <w:szCs w:val="20"/>
        </w:rPr>
        <w:t>Journal of Religious Ethics</w:t>
      </w:r>
      <w:r>
        <w:rPr>
          <w:sz w:val="20"/>
          <w:szCs w:val="20"/>
        </w:rPr>
        <w:t xml:space="preserve"> 19: 55-70.</w:t>
      </w:r>
    </w:p>
    <w:p w14:paraId="51551282" w14:textId="77777777" w:rsidR="00D77625" w:rsidRDefault="00D77625" w:rsidP="00D77625">
      <w:pPr>
        <w:rPr>
          <w:sz w:val="20"/>
          <w:szCs w:val="20"/>
        </w:rPr>
      </w:pPr>
      <w:r w:rsidRPr="00315CEE">
        <w:rPr>
          <w:sz w:val="20"/>
          <w:szCs w:val="20"/>
        </w:rPr>
        <w:t>Ivanhoe,</w:t>
      </w:r>
      <w:r>
        <w:rPr>
          <w:sz w:val="20"/>
          <w:szCs w:val="20"/>
        </w:rPr>
        <w:t xml:space="preserve"> Philip. 1991a. </w:t>
      </w:r>
      <w:r w:rsidRPr="00315CEE">
        <w:rPr>
          <w:sz w:val="20"/>
          <w:szCs w:val="20"/>
        </w:rPr>
        <w:t xml:space="preserve">“A Happy Symmetry: </w:t>
      </w:r>
      <w:proofErr w:type="spellStart"/>
      <w:r w:rsidRPr="00315CEE">
        <w:rPr>
          <w:sz w:val="20"/>
          <w:szCs w:val="20"/>
        </w:rPr>
        <w:t>Xunzi’s</w:t>
      </w:r>
      <w:proofErr w:type="spellEnd"/>
      <w:r w:rsidRPr="00315CEE">
        <w:rPr>
          <w:sz w:val="20"/>
          <w:szCs w:val="20"/>
        </w:rPr>
        <w:t xml:space="preserve"> Ethical Thought,”</w:t>
      </w:r>
      <w:r>
        <w:rPr>
          <w:sz w:val="20"/>
          <w:szCs w:val="20"/>
        </w:rPr>
        <w:t xml:space="preserve"> </w:t>
      </w:r>
      <w:r w:rsidRPr="00315CEE">
        <w:rPr>
          <w:i/>
          <w:sz w:val="20"/>
          <w:szCs w:val="20"/>
        </w:rPr>
        <w:t xml:space="preserve">Journal of the American Academy of </w:t>
      </w:r>
      <w:r w:rsidRPr="00315CEE">
        <w:rPr>
          <w:i/>
          <w:sz w:val="20"/>
          <w:szCs w:val="20"/>
        </w:rPr>
        <w:lastRenderedPageBreak/>
        <w:t>Religion</w:t>
      </w:r>
      <w:r>
        <w:rPr>
          <w:sz w:val="20"/>
          <w:szCs w:val="20"/>
        </w:rPr>
        <w:t xml:space="preserve"> 59</w:t>
      </w:r>
      <w:r w:rsidRPr="00315CEE">
        <w:rPr>
          <w:sz w:val="20"/>
          <w:szCs w:val="20"/>
        </w:rPr>
        <w:t>: 309–</w:t>
      </w:r>
      <w:r>
        <w:rPr>
          <w:sz w:val="20"/>
          <w:szCs w:val="20"/>
        </w:rPr>
        <w:t>322.</w:t>
      </w:r>
    </w:p>
    <w:p w14:paraId="47B3ED4D" w14:textId="77777777" w:rsidR="00D77625" w:rsidRPr="00A56B8C" w:rsidRDefault="00D77625" w:rsidP="00D77625">
      <w:pPr>
        <w:rPr>
          <w:sz w:val="20"/>
          <w:szCs w:val="20"/>
        </w:rPr>
      </w:pPr>
    </w:p>
    <w:p w14:paraId="5CA38846" w14:textId="77777777" w:rsidR="00D77625" w:rsidRPr="000D16F4" w:rsidRDefault="00D77625" w:rsidP="00D77625">
      <w:pPr>
        <w:rPr>
          <w:sz w:val="20"/>
          <w:szCs w:val="20"/>
        </w:rPr>
      </w:pPr>
      <w:r>
        <w:rPr>
          <w:sz w:val="20"/>
          <w:szCs w:val="20"/>
        </w:rPr>
        <w:t xml:space="preserve">Ivanhoe, Philip J. 2000. “Human Nature and Moral Understanding in the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sz w:val="20"/>
          <w:szCs w:val="20"/>
        </w:rPr>
        <w:t xml:space="preserve">.” In T.C. Kline, III, and Philip J. Ivanhoe, ed., </w:t>
      </w:r>
      <w:r>
        <w:rPr>
          <w:i/>
          <w:sz w:val="20"/>
          <w:szCs w:val="20"/>
        </w:rPr>
        <w:t xml:space="preserve">Virtue, Nature, and Moral Agency in the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sz w:val="20"/>
          <w:szCs w:val="20"/>
        </w:rPr>
        <w:t>. Indianapolis/Cambridge: Hackett Publishing Company, 237-249.</w:t>
      </w:r>
    </w:p>
    <w:p w14:paraId="08AFD574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Ivanhoe, Philip J. 2002. “Confucian Self Cultivation and Mengzi’s Notion of Extension.” In </w:t>
      </w:r>
      <w:proofErr w:type="spellStart"/>
      <w:r>
        <w:rPr>
          <w:sz w:val="20"/>
          <w:szCs w:val="20"/>
        </w:rPr>
        <w:t>Xiusheng</w:t>
      </w:r>
      <w:proofErr w:type="spellEnd"/>
      <w:r>
        <w:rPr>
          <w:sz w:val="20"/>
          <w:szCs w:val="20"/>
        </w:rPr>
        <w:t xml:space="preserve"> Liu and Philip J. Ivanhoe, eds., pp. 221-240.</w:t>
      </w:r>
    </w:p>
    <w:p w14:paraId="5C9C6575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Kim, </w:t>
      </w:r>
      <w:proofErr w:type="spellStart"/>
      <w:r>
        <w:rPr>
          <w:sz w:val="20"/>
          <w:szCs w:val="20"/>
        </w:rPr>
        <w:t>Myeong-seok</w:t>
      </w:r>
      <w:proofErr w:type="spellEnd"/>
      <w:r>
        <w:rPr>
          <w:sz w:val="20"/>
          <w:szCs w:val="20"/>
        </w:rPr>
        <w:t xml:space="preserve">. 2014. “Is There No Distinction between Reason and Emotion in Mengzi?” </w:t>
      </w:r>
      <w:r w:rsidRPr="003E7C5C">
        <w:rPr>
          <w:i/>
          <w:sz w:val="20"/>
          <w:szCs w:val="20"/>
        </w:rPr>
        <w:t>Philosophy East &amp; West</w:t>
      </w:r>
      <w:r>
        <w:rPr>
          <w:i/>
          <w:sz w:val="20"/>
          <w:szCs w:val="20"/>
        </w:rPr>
        <w:t xml:space="preserve"> </w:t>
      </w:r>
      <w:r w:rsidRPr="003E7C5C">
        <w:rPr>
          <w:sz w:val="20"/>
          <w:szCs w:val="20"/>
        </w:rPr>
        <w:t>64</w:t>
      </w:r>
      <w:r>
        <w:rPr>
          <w:sz w:val="20"/>
          <w:szCs w:val="20"/>
        </w:rPr>
        <w:t xml:space="preserve">: </w:t>
      </w:r>
      <w:r w:rsidRPr="003E7C5C">
        <w:rPr>
          <w:sz w:val="20"/>
          <w:szCs w:val="20"/>
        </w:rPr>
        <w:t>49-81</w:t>
      </w:r>
      <w:r>
        <w:rPr>
          <w:sz w:val="20"/>
          <w:szCs w:val="20"/>
        </w:rPr>
        <w:t>.</w:t>
      </w:r>
    </w:p>
    <w:p w14:paraId="76ED1AAF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Kline III, T.C. 2000. “Moral Agency and Motivation in the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sz w:val="20"/>
          <w:szCs w:val="20"/>
        </w:rPr>
        <w:t xml:space="preserve">.” In T.C. Kline, III, and Philip J. Ivanhoe, ed., </w:t>
      </w:r>
      <w:r>
        <w:rPr>
          <w:i/>
          <w:sz w:val="20"/>
          <w:szCs w:val="20"/>
        </w:rPr>
        <w:t xml:space="preserve">Virtue, Nature, and Moral Agency in the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sz w:val="20"/>
          <w:szCs w:val="20"/>
        </w:rPr>
        <w:t>. Indianapolis/Cambridge: Hackett Publishing Company, 155-175.</w:t>
      </w:r>
    </w:p>
    <w:p w14:paraId="01259BF9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Kline III, T.C. 2004. “Moral Cultivation through Ritual Participation: </w:t>
      </w:r>
      <w:proofErr w:type="spellStart"/>
      <w:r>
        <w:rPr>
          <w:sz w:val="20"/>
          <w:szCs w:val="20"/>
        </w:rPr>
        <w:t>Xunzi’s</w:t>
      </w:r>
      <w:proofErr w:type="spellEnd"/>
      <w:r>
        <w:rPr>
          <w:sz w:val="20"/>
          <w:szCs w:val="20"/>
        </w:rPr>
        <w:t xml:space="preserve"> Philosophy of Ritual.” In Kevin </w:t>
      </w:r>
      <w:proofErr w:type="spellStart"/>
      <w:r>
        <w:rPr>
          <w:sz w:val="20"/>
          <w:szCs w:val="20"/>
        </w:rPr>
        <w:t>Shilbrack</w:t>
      </w:r>
      <w:proofErr w:type="spellEnd"/>
      <w:r>
        <w:rPr>
          <w:sz w:val="20"/>
          <w:szCs w:val="20"/>
        </w:rPr>
        <w:t xml:space="preserve">, ed., </w:t>
      </w:r>
      <w:r>
        <w:rPr>
          <w:i/>
          <w:sz w:val="20"/>
          <w:szCs w:val="20"/>
        </w:rPr>
        <w:t>Thinking through Ritual</w:t>
      </w:r>
      <w:r>
        <w:rPr>
          <w:sz w:val="20"/>
          <w:szCs w:val="20"/>
        </w:rPr>
        <w:t>. New York: Routledge, pp. 188-175.</w:t>
      </w:r>
    </w:p>
    <w:p w14:paraId="1ADD3E41" w14:textId="77777777" w:rsidR="00D77625" w:rsidRPr="00612D8D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Kupperman</w:t>
      </w:r>
      <w:proofErr w:type="spellEnd"/>
      <w:r>
        <w:rPr>
          <w:sz w:val="20"/>
          <w:szCs w:val="20"/>
        </w:rPr>
        <w:t>, Joel J. 2000. “</w:t>
      </w:r>
      <w:proofErr w:type="spellStart"/>
      <w:r>
        <w:rPr>
          <w:sz w:val="20"/>
          <w:szCs w:val="20"/>
        </w:rPr>
        <w:t>Xunzi</w:t>
      </w:r>
      <w:proofErr w:type="spellEnd"/>
      <w:r>
        <w:rPr>
          <w:sz w:val="20"/>
          <w:szCs w:val="20"/>
        </w:rPr>
        <w:t xml:space="preserve">: Morality as Psychological Constraint.” In T.C. Kline, III, and Philip J. Ivanhoe, ed., </w:t>
      </w:r>
      <w:r>
        <w:rPr>
          <w:i/>
          <w:sz w:val="20"/>
          <w:szCs w:val="20"/>
        </w:rPr>
        <w:t xml:space="preserve">Virtue, Nature, and Moral Agency in the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sz w:val="20"/>
          <w:szCs w:val="20"/>
        </w:rPr>
        <w:t>. Indianapolis/Cambridge: Hackett Publishing Company, 89-102</w:t>
      </w:r>
    </w:p>
    <w:p w14:paraId="34AA1031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Lau, D.C. 2000. “Theories of Human Nature in </w:t>
      </w:r>
      <w:r>
        <w:rPr>
          <w:i/>
          <w:sz w:val="20"/>
          <w:szCs w:val="20"/>
        </w:rPr>
        <w:t xml:space="preserve">Mencius </w:t>
      </w:r>
      <w:r>
        <w:rPr>
          <w:sz w:val="20"/>
          <w:szCs w:val="20"/>
        </w:rPr>
        <w:t xml:space="preserve">and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sz w:val="20"/>
          <w:szCs w:val="20"/>
        </w:rPr>
        <w:t xml:space="preserve">.” In T.C. Kline, III, and Philip J. Ivanhoe, ed., </w:t>
      </w:r>
      <w:r>
        <w:rPr>
          <w:i/>
          <w:sz w:val="20"/>
          <w:szCs w:val="20"/>
        </w:rPr>
        <w:t xml:space="preserve">Virtue, Nature, and Moral Agency in the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sz w:val="20"/>
          <w:szCs w:val="20"/>
        </w:rPr>
        <w:t xml:space="preserve">. Indianapolis/Cambridge: Hackett Publishing Company, 189-219. </w:t>
      </w:r>
    </w:p>
    <w:p w14:paraId="7B3BFF34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Lee, </w:t>
      </w:r>
      <w:proofErr w:type="spellStart"/>
      <w:r>
        <w:rPr>
          <w:sz w:val="20"/>
          <w:szCs w:val="20"/>
        </w:rPr>
        <w:t>Janghee</w:t>
      </w:r>
      <w:proofErr w:type="spellEnd"/>
      <w:r>
        <w:rPr>
          <w:sz w:val="20"/>
          <w:szCs w:val="20"/>
        </w:rPr>
        <w:t xml:space="preserve">. 2004.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i/>
          <w:sz w:val="20"/>
          <w:szCs w:val="20"/>
        </w:rPr>
        <w:t xml:space="preserve"> and Early Chinese Naturalism: </w:t>
      </w:r>
      <w:proofErr w:type="spellStart"/>
      <w:r>
        <w:rPr>
          <w:i/>
          <w:sz w:val="20"/>
          <w:szCs w:val="20"/>
        </w:rPr>
        <w:t>Xunzi’s</w:t>
      </w:r>
      <w:proofErr w:type="spellEnd"/>
      <w:r>
        <w:rPr>
          <w:i/>
          <w:sz w:val="20"/>
          <w:szCs w:val="20"/>
        </w:rPr>
        <w:t xml:space="preserve"> Concept of Xin and His Ethical Theory</w:t>
      </w:r>
      <w:r>
        <w:rPr>
          <w:sz w:val="20"/>
          <w:szCs w:val="20"/>
        </w:rPr>
        <w:t>. Albany: SUNY Press.</w:t>
      </w:r>
    </w:p>
    <w:p w14:paraId="47BA5674" w14:textId="77777777" w:rsidR="00D77625" w:rsidRPr="00382FD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 w:rsidRPr="00320E2D">
        <w:rPr>
          <w:sz w:val="20"/>
          <w:szCs w:val="20"/>
        </w:rPr>
        <w:t>Lee, Ming-</w:t>
      </w:r>
      <w:proofErr w:type="spellStart"/>
      <w:r w:rsidRPr="00320E2D">
        <w:rPr>
          <w:sz w:val="20"/>
          <w:szCs w:val="20"/>
        </w:rPr>
        <w:t>huei</w:t>
      </w:r>
      <w:proofErr w:type="spellEnd"/>
      <w:r w:rsidRPr="00320E2D">
        <w:rPr>
          <w:sz w:val="20"/>
          <w:szCs w:val="20"/>
        </w:rPr>
        <w:t xml:space="preserve"> 2013. “Confucianism, Kant, and Virtue Ethics.” In Stephen Angle and Michael </w:t>
      </w:r>
      <w:proofErr w:type="spellStart"/>
      <w:r w:rsidRPr="00320E2D">
        <w:rPr>
          <w:sz w:val="20"/>
          <w:szCs w:val="20"/>
        </w:rPr>
        <w:t>Slote</w:t>
      </w:r>
      <w:proofErr w:type="spellEnd"/>
      <w:r w:rsidRPr="00320E2D">
        <w:rPr>
          <w:sz w:val="20"/>
          <w:szCs w:val="20"/>
        </w:rPr>
        <w:t xml:space="preserve">, eds., </w:t>
      </w:r>
      <w:r w:rsidRPr="00320E2D">
        <w:rPr>
          <w:i/>
          <w:sz w:val="20"/>
          <w:szCs w:val="20"/>
        </w:rPr>
        <w:t>Virtue Ethics and Confucianism</w:t>
      </w:r>
      <w:r w:rsidRPr="00320E2D">
        <w:rPr>
          <w:sz w:val="20"/>
          <w:szCs w:val="20"/>
        </w:rPr>
        <w:t>. New York: Routledge, pp. 47-55</w:t>
      </w:r>
    </w:p>
    <w:p w14:paraId="5293793B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Li, </w:t>
      </w:r>
      <w:proofErr w:type="spellStart"/>
      <w:r>
        <w:rPr>
          <w:sz w:val="20"/>
          <w:szCs w:val="20"/>
        </w:rPr>
        <w:t>Chenyang</w:t>
      </w:r>
      <w:proofErr w:type="spellEnd"/>
      <w:r>
        <w:rPr>
          <w:sz w:val="20"/>
          <w:szCs w:val="20"/>
        </w:rPr>
        <w:t>. 2011. “</w:t>
      </w:r>
      <w:proofErr w:type="spellStart"/>
      <w:r>
        <w:rPr>
          <w:sz w:val="20"/>
          <w:szCs w:val="20"/>
        </w:rPr>
        <w:t>Xunzi</w:t>
      </w:r>
      <w:proofErr w:type="spellEnd"/>
      <w:r>
        <w:rPr>
          <w:sz w:val="20"/>
          <w:szCs w:val="20"/>
        </w:rPr>
        <w:t xml:space="preserve"> on the Origin of Goodness: A New Interpretation.” </w:t>
      </w:r>
      <w:r w:rsidRPr="001B7909">
        <w:rPr>
          <w:i/>
          <w:sz w:val="20"/>
          <w:szCs w:val="20"/>
        </w:rPr>
        <w:t>Journal of Chinese Philosophy</w:t>
      </w:r>
      <w:r w:rsidRPr="001B7909">
        <w:rPr>
          <w:sz w:val="20"/>
          <w:szCs w:val="20"/>
        </w:rPr>
        <w:t xml:space="preserve"> 38</w:t>
      </w:r>
      <w:r>
        <w:rPr>
          <w:sz w:val="20"/>
          <w:szCs w:val="20"/>
        </w:rPr>
        <w:t xml:space="preserve">: </w:t>
      </w:r>
      <w:r w:rsidRPr="001B7909">
        <w:rPr>
          <w:sz w:val="20"/>
          <w:szCs w:val="20"/>
        </w:rPr>
        <w:t>46</w:t>
      </w:r>
      <w:r>
        <w:rPr>
          <w:sz w:val="20"/>
          <w:szCs w:val="20"/>
        </w:rPr>
        <w:t>-64.</w:t>
      </w:r>
    </w:p>
    <w:p w14:paraId="5740938C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Liu, </w:t>
      </w:r>
      <w:proofErr w:type="spellStart"/>
      <w:r>
        <w:rPr>
          <w:sz w:val="20"/>
          <w:szCs w:val="20"/>
        </w:rPr>
        <w:t>Xiusheng</w:t>
      </w:r>
      <w:proofErr w:type="spellEnd"/>
      <w:r>
        <w:rPr>
          <w:sz w:val="20"/>
          <w:szCs w:val="20"/>
        </w:rPr>
        <w:t xml:space="preserve">, and Philip J. Ivanhoe, eds. 2002. </w:t>
      </w:r>
      <w:r>
        <w:rPr>
          <w:i/>
          <w:sz w:val="20"/>
          <w:szCs w:val="20"/>
        </w:rPr>
        <w:t>Essays on the Moral Philosophy of Mengzi</w:t>
      </w:r>
      <w:r>
        <w:rPr>
          <w:sz w:val="20"/>
          <w:szCs w:val="20"/>
        </w:rPr>
        <w:t>. Indianapolis/Cambridge: Hackett Publishing.</w:t>
      </w:r>
    </w:p>
    <w:p w14:paraId="636957CB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Liu, </w:t>
      </w:r>
      <w:proofErr w:type="spellStart"/>
      <w:r>
        <w:rPr>
          <w:sz w:val="20"/>
          <w:szCs w:val="20"/>
        </w:rPr>
        <w:t>Xiusheng</w:t>
      </w:r>
      <w:proofErr w:type="spellEnd"/>
      <w:r>
        <w:rPr>
          <w:sz w:val="20"/>
          <w:szCs w:val="20"/>
        </w:rPr>
        <w:t>. 2002. “</w:t>
      </w:r>
      <w:proofErr w:type="spellStart"/>
      <w:r>
        <w:rPr>
          <w:sz w:val="20"/>
          <w:szCs w:val="20"/>
        </w:rPr>
        <w:t>Mengzian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Internalism</w:t>
      </w:r>
      <w:proofErr w:type="spellEnd"/>
      <w:r>
        <w:rPr>
          <w:sz w:val="20"/>
          <w:szCs w:val="20"/>
        </w:rPr>
        <w:t>.” In Liu and Ivanhoe, ed.,</w:t>
      </w:r>
    </w:p>
    <w:p w14:paraId="5B5A0333" w14:textId="77777777" w:rsidR="00D77625" w:rsidRPr="007C205B" w:rsidRDefault="00D77625" w:rsidP="00D77625">
      <w:pPr>
        <w:pStyle w:val="BodyText"/>
        <w:adjustRightInd w:val="0"/>
        <w:snapToGrid w:val="0"/>
        <w:spacing w:beforeLines="50" w:before="120" w:after="120"/>
        <w:rPr>
          <w:i/>
          <w:sz w:val="20"/>
          <w:szCs w:val="20"/>
        </w:rPr>
      </w:pPr>
      <w:r>
        <w:rPr>
          <w:sz w:val="20"/>
          <w:szCs w:val="20"/>
        </w:rPr>
        <w:t xml:space="preserve">Liu, </w:t>
      </w:r>
      <w:proofErr w:type="spellStart"/>
      <w:r>
        <w:rPr>
          <w:sz w:val="20"/>
          <w:szCs w:val="20"/>
        </w:rPr>
        <w:t>Xiusheng</w:t>
      </w:r>
      <w:proofErr w:type="spellEnd"/>
      <w:r>
        <w:rPr>
          <w:sz w:val="20"/>
          <w:szCs w:val="20"/>
        </w:rPr>
        <w:t xml:space="preserve">. 2002a. “Mencius, Hume, and the Sensibility Theory.” </w:t>
      </w:r>
      <w:r w:rsidRPr="007C205B">
        <w:rPr>
          <w:i/>
          <w:sz w:val="20"/>
          <w:szCs w:val="20"/>
        </w:rPr>
        <w:t xml:space="preserve">Philosophy East &amp; West Volume </w:t>
      </w:r>
      <w:r w:rsidRPr="007C205B">
        <w:rPr>
          <w:sz w:val="20"/>
          <w:szCs w:val="20"/>
        </w:rPr>
        <w:t>52</w:t>
      </w:r>
      <w:r>
        <w:rPr>
          <w:sz w:val="20"/>
          <w:szCs w:val="20"/>
        </w:rPr>
        <w:t>:</w:t>
      </w:r>
      <w:r w:rsidRPr="007C205B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75-97</w:t>
      </w:r>
    </w:p>
    <w:p w14:paraId="2739B06B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 w:rsidRPr="00692C4A">
        <w:rPr>
          <w:sz w:val="20"/>
          <w:szCs w:val="20"/>
        </w:rPr>
        <w:t xml:space="preserve">Liu, </w:t>
      </w:r>
      <w:proofErr w:type="spellStart"/>
      <w:r w:rsidRPr="00692C4A">
        <w:rPr>
          <w:sz w:val="20"/>
          <w:szCs w:val="20"/>
        </w:rPr>
        <w:t>Xiusheng</w:t>
      </w:r>
      <w:proofErr w:type="spellEnd"/>
      <w:r>
        <w:rPr>
          <w:sz w:val="20"/>
          <w:szCs w:val="20"/>
        </w:rPr>
        <w:t>. 2003.</w:t>
      </w:r>
      <w:r w:rsidRPr="00692C4A">
        <w:rPr>
          <w:sz w:val="20"/>
          <w:szCs w:val="20"/>
        </w:rPr>
        <w:t xml:space="preserve"> </w:t>
      </w:r>
      <w:r w:rsidRPr="00692C4A">
        <w:rPr>
          <w:i/>
          <w:sz w:val="20"/>
          <w:szCs w:val="20"/>
        </w:rPr>
        <w:t>Mencius, Hume, and the Foundations of Ethics</w:t>
      </w:r>
      <w:r>
        <w:rPr>
          <w:sz w:val="20"/>
          <w:szCs w:val="20"/>
        </w:rPr>
        <w:t xml:space="preserve">. Hampshire, England: </w:t>
      </w:r>
      <w:r w:rsidRPr="00692C4A">
        <w:rPr>
          <w:sz w:val="20"/>
          <w:szCs w:val="20"/>
        </w:rPr>
        <w:t xml:space="preserve">Ashgate </w:t>
      </w:r>
      <w:r>
        <w:rPr>
          <w:sz w:val="20"/>
          <w:szCs w:val="20"/>
        </w:rPr>
        <w:t>Publications.</w:t>
      </w:r>
      <w:r w:rsidRPr="00124D8A">
        <w:rPr>
          <w:sz w:val="20"/>
          <w:szCs w:val="20"/>
        </w:rPr>
        <w:t xml:space="preserve"> </w:t>
      </w:r>
    </w:p>
    <w:p w14:paraId="6B31BA22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rFonts w:eastAsia="SimSun"/>
          <w:sz w:val="20"/>
          <w:szCs w:val="20"/>
          <w:lang w:eastAsia="zh-CN"/>
        </w:rPr>
      </w:pPr>
      <w:r>
        <w:rPr>
          <w:sz w:val="20"/>
          <w:szCs w:val="20"/>
        </w:rPr>
        <w:t xml:space="preserve">Lu, </w:t>
      </w:r>
      <w:proofErr w:type="spellStart"/>
      <w:r>
        <w:rPr>
          <w:sz w:val="20"/>
          <w:szCs w:val="20"/>
        </w:rPr>
        <w:t>Shirong</w:t>
      </w:r>
      <w:proofErr w:type="spellEnd"/>
      <w:r>
        <w:rPr>
          <w:sz w:val="20"/>
          <w:szCs w:val="20"/>
        </w:rPr>
        <w:t xml:space="preserve">. 2012. “Confucius’s Virtue Politics: Ren as Leadership Virtue.” </w:t>
      </w:r>
      <w:r>
        <w:rPr>
          <w:i/>
          <w:sz w:val="20"/>
          <w:szCs w:val="20"/>
        </w:rPr>
        <w:t>Asian Philosophy</w:t>
      </w:r>
      <w:r>
        <w:rPr>
          <w:sz w:val="20"/>
          <w:szCs w:val="20"/>
        </w:rPr>
        <w:t xml:space="preserve"> 22: 15-35.</w:t>
      </w:r>
    </w:p>
    <w:p w14:paraId="6DBE8C35" w14:textId="77777777" w:rsidR="00D77625" w:rsidRPr="00601E9F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 w:rsidRPr="00601E9F">
        <w:rPr>
          <w:sz w:val="20"/>
          <w:szCs w:val="20"/>
        </w:rPr>
        <w:t>Mancilla</w:t>
      </w:r>
      <w:proofErr w:type="spellEnd"/>
      <w:r w:rsidRPr="00601E9F">
        <w:rPr>
          <w:sz w:val="20"/>
          <w:szCs w:val="20"/>
        </w:rPr>
        <w:t>, Alejandra</w:t>
      </w:r>
      <w:r>
        <w:rPr>
          <w:rFonts w:eastAsia="SimSun"/>
          <w:sz w:val="20"/>
          <w:szCs w:val="20"/>
          <w:lang w:eastAsia="zh-CN"/>
        </w:rPr>
        <w:t>.</w:t>
      </w:r>
      <w:r>
        <w:rPr>
          <w:rFonts w:eastAsia="SimSun" w:hint="eastAsia"/>
          <w:sz w:val="20"/>
          <w:szCs w:val="20"/>
          <w:lang w:eastAsia="zh-CN"/>
        </w:rPr>
        <w:t xml:space="preserve"> 2013</w:t>
      </w:r>
      <w:r w:rsidRPr="00601E9F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 w:rsidRPr="00601E9F">
        <w:rPr>
          <w:sz w:val="20"/>
          <w:szCs w:val="20"/>
        </w:rPr>
        <w:t>The Bridge of Benevolence: Hutcheson and Mencius</w:t>
      </w:r>
      <w:r>
        <w:rPr>
          <w:sz w:val="20"/>
          <w:szCs w:val="20"/>
        </w:rPr>
        <w:t xml:space="preserve">.” </w:t>
      </w:r>
      <w:r>
        <w:rPr>
          <w:i/>
          <w:sz w:val="20"/>
          <w:szCs w:val="20"/>
        </w:rPr>
        <w:t xml:space="preserve">Dao </w:t>
      </w:r>
      <w:r>
        <w:rPr>
          <w:sz w:val="20"/>
          <w:szCs w:val="20"/>
        </w:rPr>
        <w:t>12: 57-72.</w:t>
      </w:r>
    </w:p>
    <w:p w14:paraId="4215AFC9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>McR</w:t>
      </w:r>
      <w:r w:rsidRPr="00124D8A">
        <w:rPr>
          <w:sz w:val="20"/>
          <w:szCs w:val="20"/>
        </w:rPr>
        <w:t>ae, E</w:t>
      </w:r>
      <w:r>
        <w:rPr>
          <w:sz w:val="20"/>
          <w:szCs w:val="20"/>
        </w:rPr>
        <w:t xml:space="preserve">mily, 2011. “The Cultivation of Moral Feelings and Mengzi’s Method of Extension.” </w:t>
      </w:r>
      <w:r w:rsidRPr="00A3428F">
        <w:rPr>
          <w:i/>
          <w:sz w:val="20"/>
          <w:szCs w:val="20"/>
        </w:rPr>
        <w:t>Philosophy East &amp; West</w:t>
      </w:r>
      <w:r>
        <w:rPr>
          <w:sz w:val="20"/>
          <w:szCs w:val="20"/>
        </w:rPr>
        <w:t xml:space="preserve"> </w:t>
      </w:r>
      <w:r w:rsidRPr="00124D8A">
        <w:rPr>
          <w:sz w:val="20"/>
          <w:szCs w:val="20"/>
        </w:rPr>
        <w:t>61</w:t>
      </w:r>
      <w:r>
        <w:rPr>
          <w:sz w:val="20"/>
          <w:szCs w:val="20"/>
        </w:rPr>
        <w:t xml:space="preserve">: </w:t>
      </w:r>
      <w:r w:rsidRPr="00124D8A">
        <w:rPr>
          <w:sz w:val="20"/>
          <w:szCs w:val="20"/>
        </w:rPr>
        <w:t>587-608</w:t>
      </w:r>
      <w:r>
        <w:rPr>
          <w:sz w:val="20"/>
          <w:szCs w:val="20"/>
        </w:rPr>
        <w:t>.</w:t>
      </w:r>
    </w:p>
    <w:p w14:paraId="55058676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 w:rsidRPr="00321863">
        <w:rPr>
          <w:sz w:val="20"/>
          <w:szCs w:val="20"/>
        </w:rPr>
        <w:t>Mower, Deborah</w:t>
      </w:r>
      <w:r>
        <w:rPr>
          <w:sz w:val="20"/>
          <w:szCs w:val="20"/>
        </w:rPr>
        <w:t>. 2013. “</w:t>
      </w:r>
      <w:hyperlink r:id="rId12" w:history="1">
        <w:r w:rsidRPr="00321863">
          <w:rPr>
            <w:sz w:val="20"/>
            <w:szCs w:val="20"/>
          </w:rPr>
          <w:t>Situationism and Confucian Virtue Ethics</w:t>
        </w:r>
      </w:hyperlink>
      <w:r>
        <w:rPr>
          <w:sz w:val="20"/>
          <w:szCs w:val="20"/>
        </w:rPr>
        <w:t>.”</w:t>
      </w:r>
      <w:r w:rsidRPr="00321863">
        <w:rPr>
          <w:sz w:val="20"/>
          <w:szCs w:val="20"/>
        </w:rPr>
        <w:t xml:space="preserve"> </w:t>
      </w:r>
      <w:r w:rsidRPr="00321863">
        <w:rPr>
          <w:i/>
          <w:sz w:val="20"/>
          <w:szCs w:val="20"/>
        </w:rPr>
        <w:t>Ethical Theory and Moral Practice</w:t>
      </w:r>
      <w:r>
        <w:rPr>
          <w:sz w:val="20"/>
          <w:szCs w:val="20"/>
        </w:rPr>
        <w:t xml:space="preserve"> </w:t>
      </w:r>
      <w:r w:rsidRPr="00321863">
        <w:rPr>
          <w:sz w:val="20"/>
          <w:szCs w:val="20"/>
        </w:rPr>
        <w:t>16</w:t>
      </w:r>
      <w:r>
        <w:rPr>
          <w:sz w:val="20"/>
          <w:szCs w:val="20"/>
        </w:rPr>
        <w:t xml:space="preserve">: </w:t>
      </w:r>
      <w:r w:rsidRPr="00321863">
        <w:rPr>
          <w:sz w:val="20"/>
          <w:szCs w:val="20"/>
        </w:rPr>
        <w:t>113-137</w:t>
      </w:r>
      <w:r>
        <w:rPr>
          <w:sz w:val="20"/>
          <w:szCs w:val="20"/>
        </w:rPr>
        <w:t>.</w:t>
      </w:r>
    </w:p>
    <w:p w14:paraId="500451E8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Munro, Donald 1996. “A Villain in the </w:t>
      </w:r>
      <w:proofErr w:type="spellStart"/>
      <w:r>
        <w:rPr>
          <w:sz w:val="20"/>
          <w:szCs w:val="20"/>
        </w:rPr>
        <w:t>Xunzi</w:t>
      </w:r>
      <w:proofErr w:type="spellEnd"/>
      <w:r>
        <w:rPr>
          <w:sz w:val="20"/>
          <w:szCs w:val="20"/>
        </w:rPr>
        <w:t xml:space="preserve">.” In Philip. I. Ivanhoe, ed., </w:t>
      </w:r>
      <w:r>
        <w:rPr>
          <w:i/>
          <w:sz w:val="20"/>
          <w:szCs w:val="20"/>
        </w:rPr>
        <w:t xml:space="preserve">Chinese Language, Thought, and Culture: </w:t>
      </w:r>
      <w:proofErr w:type="spellStart"/>
      <w:r>
        <w:rPr>
          <w:i/>
          <w:sz w:val="20"/>
          <w:szCs w:val="20"/>
        </w:rPr>
        <w:t>Nivison</w:t>
      </w:r>
      <w:proofErr w:type="spellEnd"/>
      <w:r>
        <w:rPr>
          <w:i/>
          <w:sz w:val="20"/>
          <w:szCs w:val="20"/>
        </w:rPr>
        <w:t xml:space="preserve"> and His Critics</w:t>
      </w:r>
      <w:r>
        <w:rPr>
          <w:sz w:val="20"/>
          <w:szCs w:val="20"/>
        </w:rPr>
        <w:t>.” Chicago: Open Court, pp. 193-200.</w:t>
      </w:r>
    </w:p>
    <w:p w14:paraId="50C7007B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Nivison</w:t>
      </w:r>
      <w:proofErr w:type="spellEnd"/>
      <w:r>
        <w:rPr>
          <w:sz w:val="20"/>
          <w:szCs w:val="20"/>
        </w:rPr>
        <w:t xml:space="preserve">, David S. 1996. “Critique of David B. Wong.” In Philip J. Ivanhoe, ed., </w:t>
      </w:r>
      <w:r>
        <w:rPr>
          <w:i/>
          <w:sz w:val="20"/>
          <w:szCs w:val="20"/>
        </w:rPr>
        <w:t xml:space="preserve">Chinese Language, Thought, and Culture: </w:t>
      </w:r>
      <w:proofErr w:type="spellStart"/>
      <w:r>
        <w:rPr>
          <w:i/>
          <w:sz w:val="20"/>
          <w:szCs w:val="20"/>
        </w:rPr>
        <w:t>Nivison</w:t>
      </w:r>
      <w:proofErr w:type="spellEnd"/>
      <w:r>
        <w:rPr>
          <w:i/>
          <w:sz w:val="20"/>
          <w:szCs w:val="20"/>
        </w:rPr>
        <w:t xml:space="preserve"> and His Critics</w:t>
      </w:r>
      <w:r>
        <w:rPr>
          <w:sz w:val="20"/>
          <w:szCs w:val="20"/>
        </w:rPr>
        <w:t>.” Chicago: Open Court, pp. 232-331.</w:t>
      </w:r>
    </w:p>
    <w:p w14:paraId="7D6A484B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Nivison</w:t>
      </w:r>
      <w:proofErr w:type="spellEnd"/>
      <w:r>
        <w:rPr>
          <w:sz w:val="20"/>
          <w:szCs w:val="20"/>
        </w:rPr>
        <w:t xml:space="preserve">, David </w:t>
      </w:r>
      <w:proofErr w:type="gramStart"/>
      <w:r>
        <w:rPr>
          <w:sz w:val="20"/>
          <w:szCs w:val="20"/>
        </w:rPr>
        <w:t>S..</w:t>
      </w:r>
      <w:proofErr w:type="gramEnd"/>
      <w:r>
        <w:rPr>
          <w:sz w:val="20"/>
          <w:szCs w:val="20"/>
        </w:rPr>
        <w:t xml:space="preserve"> 1996a. “</w:t>
      </w:r>
      <w:proofErr w:type="spellStart"/>
      <w:r>
        <w:rPr>
          <w:sz w:val="20"/>
          <w:szCs w:val="20"/>
        </w:rPr>
        <w:t>Xunzi</w:t>
      </w:r>
      <w:proofErr w:type="spellEnd"/>
      <w:r>
        <w:rPr>
          <w:sz w:val="20"/>
          <w:szCs w:val="20"/>
        </w:rPr>
        <w:t xml:space="preserve"> on ‘Human Nature’.” In </w:t>
      </w:r>
      <w:proofErr w:type="gramStart"/>
      <w:r>
        <w:rPr>
          <w:i/>
          <w:sz w:val="20"/>
          <w:szCs w:val="20"/>
        </w:rPr>
        <w:t>The</w:t>
      </w:r>
      <w:proofErr w:type="gramEnd"/>
      <w:r>
        <w:rPr>
          <w:i/>
          <w:sz w:val="20"/>
          <w:szCs w:val="20"/>
        </w:rPr>
        <w:t xml:space="preserve"> Ways of Confucianism: Investigations in Chinese Philosophy</w:t>
      </w:r>
      <w:r>
        <w:rPr>
          <w:sz w:val="20"/>
          <w:szCs w:val="20"/>
        </w:rPr>
        <w:t>. Chicago: Open Court, pp. 203-216.</w:t>
      </w:r>
    </w:p>
    <w:p w14:paraId="71646EBD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Nivison</w:t>
      </w:r>
      <w:proofErr w:type="spellEnd"/>
      <w:r>
        <w:rPr>
          <w:sz w:val="20"/>
          <w:szCs w:val="20"/>
        </w:rPr>
        <w:t xml:space="preserve">, David S. 1996c. “Golden Rule Arguments in Chinese Philosophy. In </w:t>
      </w:r>
      <w:proofErr w:type="gramStart"/>
      <w:r>
        <w:rPr>
          <w:i/>
          <w:sz w:val="20"/>
          <w:szCs w:val="20"/>
        </w:rPr>
        <w:t>The</w:t>
      </w:r>
      <w:proofErr w:type="gramEnd"/>
      <w:r>
        <w:rPr>
          <w:i/>
          <w:sz w:val="20"/>
          <w:szCs w:val="20"/>
        </w:rPr>
        <w:t xml:space="preserve"> Ways of Confucianism: Investigations in Chinese Philosophy</w:t>
      </w:r>
      <w:r>
        <w:rPr>
          <w:sz w:val="20"/>
          <w:szCs w:val="20"/>
        </w:rPr>
        <w:t>. Chicago: Open Court, pp. 59-76.</w:t>
      </w:r>
    </w:p>
    <w:p w14:paraId="34F92E7D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David S. </w:t>
      </w:r>
      <w:proofErr w:type="spellStart"/>
      <w:r>
        <w:rPr>
          <w:sz w:val="20"/>
          <w:szCs w:val="20"/>
        </w:rPr>
        <w:t>Nivison</w:t>
      </w:r>
      <w:proofErr w:type="spellEnd"/>
      <w:r>
        <w:rPr>
          <w:sz w:val="20"/>
          <w:szCs w:val="20"/>
        </w:rPr>
        <w:t>. 2000. “</w:t>
      </w:r>
      <w:r w:rsidRPr="005966CE">
        <w:rPr>
          <w:sz w:val="20"/>
          <w:szCs w:val="20"/>
        </w:rPr>
        <w:t xml:space="preserve">Response to James </w:t>
      </w:r>
      <w:proofErr w:type="spellStart"/>
      <w:r w:rsidRPr="005966CE">
        <w:rPr>
          <w:sz w:val="20"/>
          <w:szCs w:val="20"/>
        </w:rPr>
        <w:t>Behuniak</w:t>
      </w:r>
      <w:proofErr w:type="spellEnd"/>
      <w:r>
        <w:rPr>
          <w:sz w:val="20"/>
          <w:szCs w:val="20"/>
        </w:rPr>
        <w:t xml:space="preserve">.” </w:t>
      </w:r>
      <w:r w:rsidRPr="005966CE">
        <w:rPr>
          <w:i/>
          <w:sz w:val="20"/>
          <w:szCs w:val="20"/>
        </w:rPr>
        <w:t>Philosophy East and West</w:t>
      </w:r>
      <w:r>
        <w:rPr>
          <w:sz w:val="20"/>
          <w:szCs w:val="20"/>
        </w:rPr>
        <w:t xml:space="preserve"> </w:t>
      </w:r>
      <w:r w:rsidRPr="005966CE">
        <w:rPr>
          <w:sz w:val="20"/>
          <w:szCs w:val="20"/>
        </w:rPr>
        <w:t>50</w:t>
      </w:r>
      <w:r>
        <w:rPr>
          <w:sz w:val="20"/>
          <w:szCs w:val="20"/>
        </w:rPr>
        <w:t>:</w:t>
      </w:r>
      <w:r w:rsidRPr="005966CE">
        <w:rPr>
          <w:sz w:val="20"/>
          <w:szCs w:val="20"/>
        </w:rPr>
        <w:t xml:space="preserve"> 110-115</w:t>
      </w:r>
      <w:r>
        <w:rPr>
          <w:sz w:val="20"/>
          <w:szCs w:val="20"/>
        </w:rPr>
        <w:t>.</w:t>
      </w:r>
    </w:p>
    <w:p w14:paraId="5679458E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Nuyen</w:t>
      </w:r>
      <w:proofErr w:type="spellEnd"/>
      <w:r>
        <w:rPr>
          <w:sz w:val="20"/>
          <w:szCs w:val="20"/>
        </w:rPr>
        <w:t>, A. T. 2013. “</w:t>
      </w:r>
      <w:hyperlink r:id="rId13" w:history="1">
        <w:r>
          <w:rPr>
            <w:sz w:val="20"/>
            <w:szCs w:val="20"/>
          </w:rPr>
          <w:t>The ‘Mandate of Heaven’</w:t>
        </w:r>
        <w:r w:rsidRPr="00967249">
          <w:rPr>
            <w:sz w:val="20"/>
            <w:szCs w:val="20"/>
          </w:rPr>
          <w:t>: Mencius and the Divine Command Theory of Political Legitimacy</w:t>
        </w:r>
      </w:hyperlink>
      <w:r>
        <w:rPr>
          <w:sz w:val="20"/>
          <w:szCs w:val="20"/>
        </w:rPr>
        <w:t xml:space="preserve">.” </w:t>
      </w:r>
      <w:r w:rsidRPr="00967249">
        <w:rPr>
          <w:i/>
          <w:sz w:val="20"/>
          <w:szCs w:val="20"/>
        </w:rPr>
        <w:t>Philosophy East and West</w:t>
      </w:r>
      <w:r>
        <w:rPr>
          <w:sz w:val="20"/>
          <w:szCs w:val="20"/>
        </w:rPr>
        <w:t xml:space="preserve"> </w:t>
      </w:r>
      <w:r w:rsidRPr="00967249">
        <w:rPr>
          <w:sz w:val="20"/>
          <w:szCs w:val="20"/>
        </w:rPr>
        <w:t>63</w:t>
      </w:r>
      <w:r>
        <w:rPr>
          <w:sz w:val="20"/>
          <w:szCs w:val="20"/>
        </w:rPr>
        <w:t xml:space="preserve">: </w:t>
      </w:r>
      <w:r w:rsidRPr="00967249">
        <w:rPr>
          <w:sz w:val="20"/>
          <w:szCs w:val="20"/>
        </w:rPr>
        <w:t>113-126</w:t>
      </w:r>
      <w:r>
        <w:rPr>
          <w:sz w:val="20"/>
          <w:szCs w:val="20"/>
        </w:rPr>
        <w:t>.</w:t>
      </w:r>
    </w:p>
    <w:p w14:paraId="056E31C1" w14:textId="77777777" w:rsidR="00D77625" w:rsidRPr="00C905DF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Olberding</w:t>
      </w:r>
      <w:proofErr w:type="spellEnd"/>
      <w:r>
        <w:rPr>
          <w:sz w:val="20"/>
          <w:szCs w:val="20"/>
        </w:rPr>
        <w:t xml:space="preserve">, Amy. 2007. “The Educative Function of Personal Style in the </w:t>
      </w:r>
      <w:r>
        <w:rPr>
          <w:i/>
          <w:sz w:val="20"/>
          <w:szCs w:val="20"/>
        </w:rPr>
        <w:t>Analects</w:t>
      </w:r>
      <w:r>
        <w:rPr>
          <w:sz w:val="20"/>
          <w:szCs w:val="20"/>
        </w:rPr>
        <w:t xml:space="preserve">.” </w:t>
      </w:r>
      <w:r>
        <w:rPr>
          <w:i/>
          <w:sz w:val="20"/>
          <w:szCs w:val="20"/>
        </w:rPr>
        <w:t xml:space="preserve">Philosophy East and West </w:t>
      </w:r>
      <w:r>
        <w:rPr>
          <w:sz w:val="20"/>
          <w:szCs w:val="20"/>
        </w:rPr>
        <w:t>57: 357-374.</w:t>
      </w:r>
    </w:p>
    <w:p w14:paraId="6F77726E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Olberding</w:t>
      </w:r>
      <w:proofErr w:type="spellEnd"/>
      <w:r>
        <w:rPr>
          <w:sz w:val="20"/>
          <w:szCs w:val="20"/>
        </w:rPr>
        <w:t xml:space="preserve">, Amy. 2012. </w:t>
      </w:r>
      <w:r>
        <w:rPr>
          <w:i/>
          <w:sz w:val="20"/>
          <w:szCs w:val="20"/>
        </w:rPr>
        <w:t xml:space="preserve">Moral Exemplars in the </w:t>
      </w:r>
      <w:r>
        <w:rPr>
          <w:sz w:val="20"/>
          <w:szCs w:val="20"/>
        </w:rPr>
        <w:t>Analects</w:t>
      </w:r>
      <w:r w:rsidRPr="00CD1890">
        <w:rPr>
          <w:i/>
          <w:sz w:val="20"/>
          <w:szCs w:val="20"/>
        </w:rPr>
        <w:t>: The Good Person Is That</w:t>
      </w:r>
      <w:r>
        <w:rPr>
          <w:sz w:val="20"/>
          <w:szCs w:val="20"/>
        </w:rPr>
        <w:t>. New York: Routledge.</w:t>
      </w:r>
    </w:p>
    <w:p w14:paraId="546DE470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Olberding</w:t>
      </w:r>
      <w:proofErr w:type="spellEnd"/>
      <w:r>
        <w:rPr>
          <w:sz w:val="20"/>
          <w:szCs w:val="20"/>
        </w:rPr>
        <w:t xml:space="preserve">, Amy. 2013. “Confucius’ Complaints and the </w:t>
      </w:r>
      <w:r>
        <w:rPr>
          <w:i/>
          <w:sz w:val="20"/>
          <w:szCs w:val="20"/>
        </w:rPr>
        <w:t>Analects’</w:t>
      </w:r>
      <w:r>
        <w:rPr>
          <w:sz w:val="20"/>
          <w:szCs w:val="20"/>
        </w:rPr>
        <w:t xml:space="preserve"> Account of the Good Life.” </w:t>
      </w:r>
      <w:r>
        <w:rPr>
          <w:i/>
          <w:sz w:val="20"/>
          <w:szCs w:val="20"/>
        </w:rPr>
        <w:t xml:space="preserve">Dao </w:t>
      </w:r>
      <w:r>
        <w:rPr>
          <w:sz w:val="20"/>
          <w:szCs w:val="20"/>
        </w:rPr>
        <w:t>12: 417-41.</w:t>
      </w:r>
    </w:p>
    <w:p w14:paraId="16E18DE8" w14:textId="77777777" w:rsidR="00D77625" w:rsidRPr="00CF4D82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Raphals</w:t>
      </w:r>
      <w:proofErr w:type="spellEnd"/>
      <w:r>
        <w:rPr>
          <w:sz w:val="20"/>
          <w:szCs w:val="20"/>
        </w:rPr>
        <w:t xml:space="preserve">, Lisa. 2014. “Uprightness, Indirection, Transparency.” In Amy </w:t>
      </w:r>
      <w:proofErr w:type="spellStart"/>
      <w:r>
        <w:rPr>
          <w:sz w:val="20"/>
          <w:szCs w:val="20"/>
        </w:rPr>
        <w:t>Olberding</w:t>
      </w:r>
      <w:proofErr w:type="spellEnd"/>
      <w:r>
        <w:rPr>
          <w:sz w:val="20"/>
          <w:szCs w:val="20"/>
        </w:rPr>
        <w:t xml:space="preserve">, ed., </w:t>
      </w:r>
      <w:r>
        <w:rPr>
          <w:i/>
          <w:sz w:val="20"/>
          <w:szCs w:val="20"/>
        </w:rPr>
        <w:t xml:space="preserve">Dao Companion to the </w:t>
      </w:r>
      <w:r>
        <w:rPr>
          <w:sz w:val="20"/>
          <w:szCs w:val="20"/>
        </w:rPr>
        <w:t>Analects. Dordrecht: Springer.</w:t>
      </w:r>
    </w:p>
    <w:p w14:paraId="660DC25D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Rosati, Connie. 2006. “Moral Motivation.” </w:t>
      </w:r>
      <w:r w:rsidRPr="00914B16">
        <w:rPr>
          <w:i/>
          <w:sz w:val="20"/>
          <w:szCs w:val="20"/>
        </w:rPr>
        <w:t>Stanford Encyclopedia of Philosophy</w:t>
      </w:r>
      <w:r>
        <w:rPr>
          <w:i/>
          <w:sz w:val="20"/>
          <w:szCs w:val="20"/>
        </w:rPr>
        <w:t>.</w:t>
      </w:r>
    </w:p>
    <w:p w14:paraId="38E655C2" w14:textId="77777777" w:rsidR="00D77625" w:rsidRPr="00265EB8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Schofer</w:t>
      </w:r>
      <w:proofErr w:type="spellEnd"/>
      <w:r>
        <w:rPr>
          <w:sz w:val="20"/>
          <w:szCs w:val="20"/>
        </w:rPr>
        <w:t>, Jonathan W. 1993. “</w:t>
      </w:r>
      <w:hyperlink r:id="rId14" w:history="1">
        <w:r w:rsidRPr="00321863">
          <w:rPr>
            <w:sz w:val="20"/>
            <w:szCs w:val="20"/>
          </w:rPr>
          <w:t xml:space="preserve">Virtues in </w:t>
        </w:r>
        <w:proofErr w:type="spellStart"/>
        <w:r w:rsidRPr="00321863">
          <w:rPr>
            <w:sz w:val="20"/>
            <w:szCs w:val="20"/>
          </w:rPr>
          <w:t>Xunzi's</w:t>
        </w:r>
        <w:proofErr w:type="spellEnd"/>
        <w:r w:rsidRPr="00321863">
          <w:rPr>
            <w:sz w:val="20"/>
            <w:szCs w:val="20"/>
          </w:rPr>
          <w:t> Thought</w:t>
        </w:r>
      </w:hyperlink>
      <w:r>
        <w:rPr>
          <w:sz w:val="20"/>
          <w:szCs w:val="20"/>
        </w:rPr>
        <w:t xml:space="preserve">.” </w:t>
      </w:r>
      <w:r w:rsidRPr="00321863">
        <w:rPr>
          <w:i/>
          <w:sz w:val="20"/>
          <w:szCs w:val="20"/>
        </w:rPr>
        <w:t>The Journal of Religious Ethics</w:t>
      </w:r>
      <w:r w:rsidRPr="00321863">
        <w:rPr>
          <w:sz w:val="20"/>
          <w:szCs w:val="20"/>
        </w:rPr>
        <w:t xml:space="preserve"> 21</w:t>
      </w:r>
      <w:r>
        <w:rPr>
          <w:sz w:val="20"/>
          <w:szCs w:val="20"/>
        </w:rPr>
        <w:t xml:space="preserve">: 117-136. </w:t>
      </w:r>
    </w:p>
    <w:p w14:paraId="7774C37F" w14:textId="77777777" w:rsidR="00D77625" w:rsidRPr="00865854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Shun, </w:t>
      </w:r>
      <w:proofErr w:type="spellStart"/>
      <w:r>
        <w:rPr>
          <w:sz w:val="20"/>
          <w:szCs w:val="20"/>
        </w:rPr>
        <w:t>Kwong-loi</w:t>
      </w:r>
      <w:proofErr w:type="spellEnd"/>
      <w:r>
        <w:rPr>
          <w:sz w:val="20"/>
          <w:szCs w:val="20"/>
        </w:rPr>
        <w:t xml:space="preserve">. 1989. “Moral Reason in Confucian Ethics.” </w:t>
      </w:r>
      <w:r>
        <w:rPr>
          <w:i/>
          <w:sz w:val="20"/>
          <w:szCs w:val="20"/>
        </w:rPr>
        <w:t xml:space="preserve">Journal of Chinese Philosophy </w:t>
      </w:r>
      <w:r>
        <w:rPr>
          <w:sz w:val="20"/>
          <w:szCs w:val="20"/>
        </w:rPr>
        <w:t>16: 317-343.</w:t>
      </w:r>
    </w:p>
    <w:p w14:paraId="557CDF0A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Shun, </w:t>
      </w:r>
      <w:proofErr w:type="spellStart"/>
      <w:r>
        <w:rPr>
          <w:sz w:val="20"/>
          <w:szCs w:val="20"/>
        </w:rPr>
        <w:t>Kwong-Loi</w:t>
      </w:r>
      <w:proofErr w:type="spellEnd"/>
      <w:r>
        <w:rPr>
          <w:sz w:val="20"/>
          <w:szCs w:val="20"/>
        </w:rPr>
        <w:t xml:space="preserve">. 1997. </w:t>
      </w:r>
      <w:r>
        <w:rPr>
          <w:i/>
          <w:sz w:val="20"/>
          <w:szCs w:val="20"/>
        </w:rPr>
        <w:t>Mencius and Early Chinese Thought</w:t>
      </w:r>
      <w:r>
        <w:rPr>
          <w:sz w:val="20"/>
          <w:szCs w:val="20"/>
        </w:rPr>
        <w:t>. Berkeley: University of California Press.</w:t>
      </w:r>
    </w:p>
    <w:p w14:paraId="32855EDF" w14:textId="77777777" w:rsidR="00D77625" w:rsidRPr="00EA6E1C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Sim, May. 2009. “Dewey and Confucius: On Moral Education.” </w:t>
      </w:r>
      <w:r>
        <w:rPr>
          <w:i/>
          <w:sz w:val="20"/>
          <w:szCs w:val="20"/>
        </w:rPr>
        <w:t>Journal of Chinese Philosophy</w:t>
      </w:r>
      <w:r>
        <w:rPr>
          <w:sz w:val="20"/>
          <w:szCs w:val="20"/>
        </w:rPr>
        <w:t xml:space="preserve"> 36: 85-106.</w:t>
      </w:r>
    </w:p>
    <w:p w14:paraId="41955B7E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Slingerland, Edward G. 2003. </w:t>
      </w:r>
      <w:r>
        <w:rPr>
          <w:i/>
          <w:sz w:val="20"/>
          <w:szCs w:val="20"/>
        </w:rPr>
        <w:t>Effortless Action: We-</w:t>
      </w:r>
      <w:proofErr w:type="spellStart"/>
      <w:r>
        <w:rPr>
          <w:i/>
          <w:sz w:val="20"/>
          <w:szCs w:val="20"/>
        </w:rPr>
        <w:t>wei</w:t>
      </w:r>
      <w:proofErr w:type="spellEnd"/>
      <w:r>
        <w:rPr>
          <w:i/>
          <w:sz w:val="20"/>
          <w:szCs w:val="20"/>
        </w:rPr>
        <w:t xml:space="preserve"> as a Conceptual Metaphor and Spiritual Ideal in Early China</w:t>
      </w:r>
      <w:r>
        <w:rPr>
          <w:sz w:val="20"/>
          <w:szCs w:val="20"/>
        </w:rPr>
        <w:t>. New York: Oxford University Press.</w:t>
      </w:r>
    </w:p>
    <w:p w14:paraId="19E3B962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Slote</w:t>
      </w:r>
      <w:proofErr w:type="spellEnd"/>
      <w:r>
        <w:rPr>
          <w:sz w:val="20"/>
          <w:szCs w:val="20"/>
        </w:rPr>
        <w:t>, Michael. 2009. “</w:t>
      </w:r>
      <w:hyperlink r:id="rId15" w:history="1">
        <w:r w:rsidRPr="00692C4A">
          <w:rPr>
            <w:sz w:val="20"/>
            <w:szCs w:val="20"/>
          </w:rPr>
          <w:t xml:space="preserve">Comments on Bryan Van Norden’s </w:t>
        </w:r>
        <w:r w:rsidRPr="00692C4A">
          <w:rPr>
            <w:i/>
            <w:sz w:val="20"/>
            <w:szCs w:val="20"/>
          </w:rPr>
          <w:t>Virtue Ethics and Consequentialism in Early Chinese Philosophy</w:t>
        </w:r>
        <w:r>
          <w:rPr>
            <w:sz w:val="20"/>
            <w:szCs w:val="20"/>
          </w:rPr>
          <w:t xml:space="preserve">.” </w:t>
        </w:r>
        <w:r>
          <w:rPr>
            <w:i/>
            <w:sz w:val="20"/>
            <w:szCs w:val="20"/>
          </w:rPr>
          <w:t xml:space="preserve">Dao </w:t>
        </w:r>
        <w:r w:rsidRPr="00692C4A">
          <w:rPr>
            <w:sz w:val="20"/>
            <w:szCs w:val="20"/>
          </w:rPr>
          <w:t>8: 289-295.</w:t>
        </w:r>
        <w:r>
          <w:rPr>
            <w:i/>
            <w:sz w:val="20"/>
            <w:szCs w:val="20"/>
          </w:rPr>
          <w:t xml:space="preserve"> </w:t>
        </w:r>
        <w:r w:rsidRPr="00692C4A">
          <w:rPr>
            <w:sz w:val="20"/>
            <w:szCs w:val="20"/>
          </w:rPr>
          <w:t xml:space="preserve"> </w:t>
        </w:r>
      </w:hyperlink>
    </w:p>
    <w:p w14:paraId="504B9874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Stalnaker, Aaron. 2010. “Virtue as mastery in Early Confucianism.” </w:t>
      </w:r>
      <w:r w:rsidRPr="00321863">
        <w:rPr>
          <w:i/>
          <w:sz w:val="20"/>
          <w:szCs w:val="20"/>
        </w:rPr>
        <w:t xml:space="preserve">Journal </w:t>
      </w:r>
      <w:proofErr w:type="gramStart"/>
      <w:r w:rsidRPr="00321863">
        <w:rPr>
          <w:i/>
          <w:sz w:val="20"/>
          <w:szCs w:val="20"/>
        </w:rPr>
        <w:t>Of</w:t>
      </w:r>
      <w:proofErr w:type="gramEnd"/>
      <w:r w:rsidRPr="00321863">
        <w:rPr>
          <w:i/>
          <w:sz w:val="20"/>
          <w:szCs w:val="20"/>
        </w:rPr>
        <w:t xml:space="preserve"> Religious Ethics</w:t>
      </w:r>
      <w:r>
        <w:rPr>
          <w:sz w:val="20"/>
          <w:szCs w:val="20"/>
        </w:rPr>
        <w:t xml:space="preserve"> </w:t>
      </w:r>
      <w:r w:rsidRPr="00321863">
        <w:rPr>
          <w:sz w:val="20"/>
          <w:szCs w:val="20"/>
        </w:rPr>
        <w:t>38</w:t>
      </w:r>
      <w:r>
        <w:rPr>
          <w:sz w:val="20"/>
          <w:szCs w:val="20"/>
        </w:rPr>
        <w:t xml:space="preserve">: </w:t>
      </w:r>
      <w:r w:rsidRPr="00321863">
        <w:rPr>
          <w:sz w:val="20"/>
          <w:szCs w:val="20"/>
        </w:rPr>
        <w:t>404-428</w:t>
      </w:r>
      <w:r>
        <w:rPr>
          <w:sz w:val="20"/>
          <w:szCs w:val="20"/>
        </w:rPr>
        <w:t>.</w:t>
      </w:r>
    </w:p>
    <w:p w14:paraId="7F24684A" w14:textId="77777777" w:rsidR="00D77625" w:rsidRPr="00553127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>Tu, Wei-</w:t>
      </w:r>
      <w:proofErr w:type="spellStart"/>
      <w:r>
        <w:rPr>
          <w:sz w:val="20"/>
          <w:szCs w:val="20"/>
        </w:rPr>
        <w:t>ming</w:t>
      </w:r>
      <w:proofErr w:type="spellEnd"/>
      <w:r>
        <w:rPr>
          <w:sz w:val="20"/>
          <w:szCs w:val="20"/>
        </w:rPr>
        <w:t xml:space="preserve">. 1987. “The Confucian Sage: Exemplar of Personal Knowledge.” In John S. Hawley, ed., </w:t>
      </w:r>
      <w:r>
        <w:rPr>
          <w:i/>
          <w:sz w:val="20"/>
          <w:szCs w:val="20"/>
        </w:rPr>
        <w:t>Saints and Virtues</w:t>
      </w:r>
      <w:r>
        <w:rPr>
          <w:sz w:val="20"/>
          <w:szCs w:val="20"/>
        </w:rPr>
        <w:t>. Berkeley: University of California Press, 73-86.</w:t>
      </w:r>
    </w:p>
    <w:p w14:paraId="32C1CA08" w14:textId="77777777" w:rsidR="00D77625" w:rsidRPr="00865854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>Van Norden, Bryan. 1991. “</w:t>
      </w:r>
      <w:proofErr w:type="spellStart"/>
      <w:r>
        <w:rPr>
          <w:sz w:val="20"/>
          <w:szCs w:val="20"/>
        </w:rPr>
        <w:t>Kwong-loi</w:t>
      </w:r>
      <w:proofErr w:type="spellEnd"/>
      <w:r>
        <w:rPr>
          <w:sz w:val="20"/>
          <w:szCs w:val="20"/>
        </w:rPr>
        <w:t xml:space="preserve"> Shun on Moral Reasons in Mencius.” </w:t>
      </w:r>
      <w:r>
        <w:rPr>
          <w:i/>
          <w:sz w:val="20"/>
          <w:szCs w:val="20"/>
        </w:rPr>
        <w:t xml:space="preserve">Journal of Chinese Philosophy </w:t>
      </w:r>
      <w:r>
        <w:rPr>
          <w:sz w:val="20"/>
          <w:szCs w:val="20"/>
        </w:rPr>
        <w:t>18: 353-370.</w:t>
      </w:r>
    </w:p>
    <w:p w14:paraId="4F706527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Van Norden, Bryan. 2000. “Mengzi and </w:t>
      </w:r>
      <w:proofErr w:type="spellStart"/>
      <w:r>
        <w:rPr>
          <w:sz w:val="20"/>
          <w:szCs w:val="20"/>
        </w:rPr>
        <w:t>Xunzi</w:t>
      </w:r>
      <w:proofErr w:type="spellEnd"/>
      <w:r>
        <w:rPr>
          <w:sz w:val="20"/>
          <w:szCs w:val="20"/>
        </w:rPr>
        <w:t xml:space="preserve">: Two Views of Human Agency.” In T.C. Kline, III, and Philip J. Ivanhoe, ed., </w:t>
      </w:r>
      <w:r>
        <w:rPr>
          <w:i/>
          <w:sz w:val="20"/>
          <w:szCs w:val="20"/>
        </w:rPr>
        <w:t xml:space="preserve">Virtue, Nature, and Moral Agency in the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sz w:val="20"/>
          <w:szCs w:val="20"/>
        </w:rPr>
        <w:t>. Indianapolis/Cambridge: Hackett Publishing Company, 105-134.</w:t>
      </w:r>
    </w:p>
    <w:p w14:paraId="25E5779D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Van </w:t>
      </w:r>
      <w:r w:rsidRPr="002D7C49">
        <w:rPr>
          <w:sz w:val="20"/>
          <w:szCs w:val="20"/>
        </w:rPr>
        <w:t>Norden, Bryan</w:t>
      </w:r>
      <w:r>
        <w:rPr>
          <w:sz w:val="20"/>
          <w:szCs w:val="20"/>
        </w:rPr>
        <w:t>. 2002.</w:t>
      </w:r>
      <w:r w:rsidRPr="002D7C49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hyperlink r:id="rId16" w:history="1">
        <w:r w:rsidRPr="002D7C49">
          <w:rPr>
            <w:sz w:val="20"/>
            <w:szCs w:val="20"/>
          </w:rPr>
          <w:t>T</w:t>
        </w:r>
        <w:r>
          <w:rPr>
            <w:sz w:val="20"/>
            <w:szCs w:val="20"/>
          </w:rPr>
          <w:t>he Emotion of Shame and the Virtue of R</w:t>
        </w:r>
        <w:r w:rsidRPr="002D7C49">
          <w:rPr>
            <w:sz w:val="20"/>
            <w:szCs w:val="20"/>
          </w:rPr>
          <w:t>ighteousness in Mencius</w:t>
        </w:r>
      </w:hyperlink>
      <w:r>
        <w:rPr>
          <w:sz w:val="20"/>
          <w:szCs w:val="20"/>
        </w:rPr>
        <w:t xml:space="preserve">.” </w:t>
      </w:r>
      <w:r w:rsidRPr="002D7C49">
        <w:rPr>
          <w:i/>
          <w:sz w:val="20"/>
          <w:szCs w:val="20"/>
        </w:rPr>
        <w:t>Dao</w:t>
      </w:r>
      <w:r>
        <w:rPr>
          <w:sz w:val="20"/>
          <w:szCs w:val="20"/>
        </w:rPr>
        <w:t xml:space="preserve"> 2: </w:t>
      </w:r>
      <w:r w:rsidRPr="002D7C49">
        <w:rPr>
          <w:sz w:val="20"/>
          <w:szCs w:val="20"/>
        </w:rPr>
        <w:t>45-77</w:t>
      </w:r>
      <w:r>
        <w:rPr>
          <w:sz w:val="20"/>
          <w:szCs w:val="20"/>
        </w:rPr>
        <w:t>.</w:t>
      </w:r>
    </w:p>
    <w:p w14:paraId="6F2A91D5" w14:textId="77777777" w:rsidR="00D77625" w:rsidRPr="003E700F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Van Norden, Bryan 2002a. “Unweaving the ‘One Thread’ of </w:t>
      </w:r>
      <w:r>
        <w:rPr>
          <w:i/>
          <w:sz w:val="20"/>
          <w:szCs w:val="20"/>
        </w:rPr>
        <w:t>Analects</w:t>
      </w:r>
      <w:r>
        <w:rPr>
          <w:sz w:val="20"/>
          <w:szCs w:val="20"/>
        </w:rPr>
        <w:t xml:space="preserve">. In Bryan van Norden, ed., </w:t>
      </w:r>
      <w:r>
        <w:rPr>
          <w:i/>
          <w:sz w:val="20"/>
          <w:szCs w:val="20"/>
        </w:rPr>
        <w:t xml:space="preserve">Confucius and the </w:t>
      </w:r>
      <w:r>
        <w:rPr>
          <w:sz w:val="20"/>
          <w:szCs w:val="20"/>
        </w:rPr>
        <w:t xml:space="preserve">Analects: </w:t>
      </w:r>
      <w:r>
        <w:rPr>
          <w:i/>
          <w:sz w:val="20"/>
          <w:szCs w:val="20"/>
        </w:rPr>
        <w:t>New Essays</w:t>
      </w:r>
      <w:r>
        <w:rPr>
          <w:sz w:val="20"/>
          <w:szCs w:val="20"/>
        </w:rPr>
        <w:t>. Oxford: Oxford University Press, 216-236.</w:t>
      </w:r>
    </w:p>
    <w:p w14:paraId="4F298360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Van Norden, Bryan. </w:t>
      </w:r>
      <w:r>
        <w:rPr>
          <w:i/>
          <w:sz w:val="20"/>
          <w:szCs w:val="20"/>
        </w:rPr>
        <w:t>Virtue Ethics and Consequentialism in Early Chinese Philosophy</w:t>
      </w:r>
      <w:r>
        <w:rPr>
          <w:sz w:val="20"/>
          <w:szCs w:val="20"/>
        </w:rPr>
        <w:t>. Cambridge: Cambridge University Press.</w:t>
      </w:r>
    </w:p>
    <w:p w14:paraId="06A1E267" w14:textId="77777777" w:rsidR="00D77625" w:rsidRPr="00692C4A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Van Norden, Bryan. “Response to Angle and </w:t>
      </w:r>
      <w:proofErr w:type="spellStart"/>
      <w:r>
        <w:rPr>
          <w:sz w:val="20"/>
          <w:szCs w:val="20"/>
        </w:rPr>
        <w:t>Slote</w:t>
      </w:r>
      <w:proofErr w:type="spellEnd"/>
      <w:r>
        <w:rPr>
          <w:sz w:val="20"/>
          <w:szCs w:val="20"/>
        </w:rPr>
        <w:t xml:space="preserve">.” </w:t>
      </w:r>
      <w:r>
        <w:rPr>
          <w:i/>
          <w:sz w:val="20"/>
          <w:szCs w:val="20"/>
        </w:rPr>
        <w:t xml:space="preserve">Dao </w:t>
      </w:r>
      <w:r>
        <w:rPr>
          <w:sz w:val="20"/>
          <w:szCs w:val="20"/>
        </w:rPr>
        <w:t xml:space="preserve">8: 305-9. </w:t>
      </w:r>
    </w:p>
    <w:p w14:paraId="0B774BCF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 w:rsidRPr="00967249">
        <w:rPr>
          <w:sz w:val="20"/>
          <w:szCs w:val="20"/>
        </w:rPr>
        <w:t>Wang, YP</w:t>
      </w:r>
      <w:r>
        <w:rPr>
          <w:sz w:val="20"/>
          <w:szCs w:val="20"/>
        </w:rPr>
        <w:t>. 2005. “</w:t>
      </w:r>
      <w:hyperlink r:id="rId17" w:history="1">
        <w:r>
          <w:rPr>
            <w:sz w:val="20"/>
            <w:szCs w:val="20"/>
          </w:rPr>
          <w:t>Are Early Confucians Consequential</w:t>
        </w:r>
        <w:r w:rsidRPr="00967249">
          <w:rPr>
            <w:sz w:val="20"/>
            <w:szCs w:val="20"/>
          </w:rPr>
          <w:t>ists?</w:t>
        </w:r>
      </w:hyperlink>
      <w:r>
        <w:rPr>
          <w:sz w:val="20"/>
          <w:szCs w:val="20"/>
        </w:rPr>
        <w:t xml:space="preserve">” </w:t>
      </w:r>
      <w:r w:rsidRPr="00967249">
        <w:rPr>
          <w:i/>
          <w:sz w:val="20"/>
          <w:szCs w:val="20"/>
        </w:rPr>
        <w:t>Asian Philosophy</w:t>
      </w:r>
      <w:r>
        <w:rPr>
          <w:i/>
          <w:sz w:val="20"/>
          <w:szCs w:val="20"/>
        </w:rPr>
        <w:t xml:space="preserve"> </w:t>
      </w:r>
      <w:r w:rsidRPr="00967249">
        <w:rPr>
          <w:sz w:val="20"/>
          <w:szCs w:val="20"/>
        </w:rPr>
        <w:t>15</w:t>
      </w:r>
      <w:r>
        <w:rPr>
          <w:sz w:val="20"/>
          <w:szCs w:val="20"/>
        </w:rPr>
        <w:t>:</w:t>
      </w:r>
      <w:r w:rsidRPr="00967249">
        <w:rPr>
          <w:sz w:val="20"/>
          <w:szCs w:val="20"/>
        </w:rPr>
        <w:t xml:space="preserve"> 19-34</w:t>
      </w:r>
      <w:r>
        <w:rPr>
          <w:sz w:val="20"/>
          <w:szCs w:val="20"/>
        </w:rPr>
        <w:t>.</w:t>
      </w:r>
    </w:p>
    <w:p w14:paraId="7AA3F520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Wilson, Stephen A. 2002. “Conformity, Individuality, and the Nature of Virtue: A Classical Confucian Contribution to Contemporary Ethical Reflection.” In Bryan van Norden, ed., </w:t>
      </w:r>
      <w:r>
        <w:rPr>
          <w:i/>
          <w:sz w:val="20"/>
          <w:szCs w:val="20"/>
        </w:rPr>
        <w:t xml:space="preserve">Confucius and the </w:t>
      </w:r>
      <w:r>
        <w:rPr>
          <w:sz w:val="20"/>
          <w:szCs w:val="20"/>
        </w:rPr>
        <w:t xml:space="preserve">Analects: </w:t>
      </w:r>
      <w:r>
        <w:rPr>
          <w:i/>
          <w:sz w:val="20"/>
          <w:szCs w:val="20"/>
        </w:rPr>
        <w:t>New Essays</w:t>
      </w:r>
      <w:r>
        <w:rPr>
          <w:sz w:val="20"/>
          <w:szCs w:val="20"/>
        </w:rPr>
        <w:t>. Oxford: Oxford University Press, 94-117.</w:t>
      </w:r>
    </w:p>
    <w:p w14:paraId="7EFFBDEA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Wong, David. 1991. “Is There a Distinction between Reason and Emotion in Mencius?” </w:t>
      </w:r>
      <w:r w:rsidRPr="003E7C5C">
        <w:rPr>
          <w:i/>
          <w:sz w:val="20"/>
          <w:szCs w:val="20"/>
        </w:rPr>
        <w:t>Philosophy East &amp; West</w:t>
      </w:r>
      <w:r>
        <w:rPr>
          <w:i/>
          <w:sz w:val="20"/>
          <w:szCs w:val="20"/>
        </w:rPr>
        <w:t xml:space="preserve"> </w:t>
      </w:r>
      <w:r w:rsidRPr="003E7C5C">
        <w:rPr>
          <w:sz w:val="20"/>
          <w:szCs w:val="20"/>
        </w:rPr>
        <w:t>41</w:t>
      </w:r>
      <w:r>
        <w:rPr>
          <w:sz w:val="20"/>
          <w:szCs w:val="20"/>
        </w:rPr>
        <w:t xml:space="preserve">: </w:t>
      </w:r>
      <w:r w:rsidRPr="003E7C5C">
        <w:rPr>
          <w:sz w:val="20"/>
          <w:szCs w:val="20"/>
        </w:rPr>
        <w:t>31-44</w:t>
      </w:r>
      <w:r>
        <w:rPr>
          <w:sz w:val="20"/>
          <w:szCs w:val="20"/>
        </w:rPr>
        <w:t>.</w:t>
      </w:r>
    </w:p>
    <w:p w14:paraId="3425AC6D" w14:textId="77777777" w:rsidR="00D77625" w:rsidRPr="003E7C5C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 w:rsidRPr="003E7C5C">
        <w:rPr>
          <w:sz w:val="20"/>
          <w:szCs w:val="20"/>
        </w:rPr>
        <w:t>Wong, David B</w:t>
      </w:r>
      <w:r>
        <w:rPr>
          <w:sz w:val="20"/>
          <w:szCs w:val="20"/>
        </w:rPr>
        <w:t>. 1991a.</w:t>
      </w:r>
      <w:r w:rsidRPr="003E7C5C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hyperlink r:id="rId18" w:history="1">
        <w:r w:rsidRPr="003E7C5C">
          <w:rPr>
            <w:sz w:val="20"/>
            <w:szCs w:val="20"/>
          </w:rPr>
          <w:t>Response to Craig Ihara's Discussion</w:t>
        </w:r>
      </w:hyperlink>
      <w:r>
        <w:rPr>
          <w:sz w:val="20"/>
          <w:szCs w:val="20"/>
        </w:rPr>
        <w:t xml:space="preserve">.” </w:t>
      </w:r>
      <w:r w:rsidRPr="003E7C5C">
        <w:rPr>
          <w:i/>
          <w:sz w:val="20"/>
          <w:szCs w:val="20"/>
        </w:rPr>
        <w:t>Philosophy East and West</w:t>
      </w:r>
      <w:r>
        <w:rPr>
          <w:i/>
          <w:sz w:val="20"/>
          <w:szCs w:val="20"/>
        </w:rPr>
        <w:t xml:space="preserve"> </w:t>
      </w:r>
      <w:r w:rsidRPr="003E7C5C">
        <w:rPr>
          <w:sz w:val="20"/>
          <w:szCs w:val="20"/>
        </w:rPr>
        <w:t>41</w:t>
      </w:r>
      <w:r>
        <w:rPr>
          <w:sz w:val="20"/>
          <w:szCs w:val="20"/>
        </w:rPr>
        <w:t>:</w:t>
      </w:r>
      <w:r w:rsidRPr="003E7C5C">
        <w:rPr>
          <w:sz w:val="20"/>
          <w:szCs w:val="20"/>
        </w:rPr>
        <w:t xml:space="preserve"> 55-58</w:t>
      </w:r>
      <w:r>
        <w:rPr>
          <w:sz w:val="20"/>
          <w:szCs w:val="20"/>
        </w:rPr>
        <w:t>.</w:t>
      </w:r>
    </w:p>
    <w:p w14:paraId="24549329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Wong, David. 2002. “Reason and Analogical Reasoning in Mengzi.” In </w:t>
      </w:r>
      <w:proofErr w:type="spellStart"/>
      <w:r>
        <w:rPr>
          <w:sz w:val="20"/>
          <w:szCs w:val="20"/>
        </w:rPr>
        <w:t>Xiusheng</w:t>
      </w:r>
      <w:proofErr w:type="spellEnd"/>
      <w:r>
        <w:rPr>
          <w:sz w:val="20"/>
          <w:szCs w:val="20"/>
        </w:rPr>
        <w:t xml:space="preserve"> Liu and Philip J. Ivanhoe, eds., 2002, pp. 187-220.</w:t>
      </w:r>
    </w:p>
    <w:p w14:paraId="5B9E6342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rFonts w:eastAsia="SimSun"/>
          <w:sz w:val="20"/>
          <w:szCs w:val="20"/>
          <w:lang w:eastAsia="zh-CN"/>
        </w:rPr>
      </w:pPr>
      <w:r>
        <w:rPr>
          <w:sz w:val="20"/>
          <w:szCs w:val="20"/>
        </w:rPr>
        <w:t>Wong, David. 2000. “</w:t>
      </w:r>
      <w:proofErr w:type="spellStart"/>
      <w:r>
        <w:rPr>
          <w:sz w:val="20"/>
          <w:szCs w:val="20"/>
        </w:rPr>
        <w:t>Xunzi</w:t>
      </w:r>
      <w:proofErr w:type="spellEnd"/>
      <w:r>
        <w:rPr>
          <w:sz w:val="20"/>
          <w:szCs w:val="20"/>
        </w:rPr>
        <w:t xml:space="preserve"> on Moral Motivation.” In T.C. Kline, III, and Philip J. Ivanhoe, ed., </w:t>
      </w:r>
      <w:r>
        <w:rPr>
          <w:i/>
          <w:sz w:val="20"/>
          <w:szCs w:val="20"/>
        </w:rPr>
        <w:t xml:space="preserve">Virtue, Nature, and Moral Agency in the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sz w:val="20"/>
          <w:szCs w:val="20"/>
        </w:rPr>
        <w:t>. Indianapolis/Cambridge: Hackett Publishing Company, 135-175.</w:t>
      </w:r>
    </w:p>
    <w:p w14:paraId="6652D33C" w14:textId="77777777" w:rsidR="00D77625" w:rsidRPr="00B321FE" w:rsidRDefault="00D77625" w:rsidP="00D77625">
      <w:pPr>
        <w:pStyle w:val="BodyText"/>
        <w:adjustRightInd w:val="0"/>
        <w:snapToGrid w:val="0"/>
        <w:spacing w:beforeLines="50" w:before="120" w:after="120"/>
        <w:rPr>
          <w:rFonts w:eastAsia="SimSun"/>
          <w:sz w:val="20"/>
          <w:szCs w:val="20"/>
          <w:lang w:eastAsia="zh-CN"/>
        </w:rPr>
      </w:pPr>
      <w:r>
        <w:rPr>
          <w:rFonts w:eastAsia="SimSun" w:hint="eastAsia"/>
          <w:sz w:val="20"/>
          <w:szCs w:val="20"/>
          <w:lang w:eastAsia="zh-CN"/>
        </w:rPr>
        <w:t>Wong</w:t>
      </w:r>
      <w:r>
        <w:rPr>
          <w:rFonts w:eastAsia="SimSun"/>
          <w:sz w:val="20"/>
          <w:szCs w:val="20"/>
          <w:lang w:eastAsia="zh-CN"/>
        </w:rPr>
        <w:t>, David</w:t>
      </w:r>
      <w:r>
        <w:rPr>
          <w:rFonts w:eastAsia="SimSun" w:hint="eastAsia"/>
          <w:sz w:val="20"/>
          <w:szCs w:val="20"/>
          <w:lang w:eastAsia="zh-CN"/>
        </w:rPr>
        <w:t xml:space="preserve"> 2006.</w:t>
      </w:r>
      <w:r>
        <w:rPr>
          <w:rFonts w:eastAsia="SimSun"/>
          <w:sz w:val="20"/>
          <w:szCs w:val="20"/>
          <w:lang w:eastAsia="zh-CN"/>
        </w:rPr>
        <w:t xml:space="preserve"> </w:t>
      </w:r>
      <w:r>
        <w:rPr>
          <w:rFonts w:eastAsia="SimSun"/>
          <w:i/>
          <w:sz w:val="20"/>
          <w:szCs w:val="20"/>
          <w:lang w:eastAsia="zh-CN"/>
        </w:rPr>
        <w:t>Natural Moralities: A Defense of Pluralist Relativism</w:t>
      </w:r>
      <w:r>
        <w:rPr>
          <w:rFonts w:eastAsia="SimSun"/>
          <w:sz w:val="20"/>
          <w:szCs w:val="20"/>
          <w:lang w:eastAsia="zh-CN"/>
        </w:rPr>
        <w:t>. Oxford: Oxford University Press.</w:t>
      </w:r>
    </w:p>
    <w:p w14:paraId="127E9318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Yearley</w:t>
      </w:r>
      <w:proofErr w:type="spellEnd"/>
      <w:r>
        <w:rPr>
          <w:sz w:val="20"/>
          <w:szCs w:val="20"/>
        </w:rPr>
        <w:t xml:space="preserve">, Lee. 2014. “Ritualization as Humanization.” In T.C. Kline III and Justin </w:t>
      </w:r>
      <w:proofErr w:type="spellStart"/>
      <w:r>
        <w:rPr>
          <w:sz w:val="20"/>
          <w:szCs w:val="20"/>
        </w:rPr>
        <w:t>Tiwald</w:t>
      </w:r>
      <w:proofErr w:type="spellEnd"/>
      <w:r>
        <w:rPr>
          <w:sz w:val="20"/>
          <w:szCs w:val="20"/>
        </w:rPr>
        <w:t xml:space="preserve">, eds., </w:t>
      </w:r>
      <w:r>
        <w:rPr>
          <w:i/>
          <w:sz w:val="20"/>
          <w:szCs w:val="20"/>
        </w:rPr>
        <w:t xml:space="preserve">Ritual and Religion in the </w:t>
      </w:r>
      <w:proofErr w:type="spellStart"/>
      <w:r>
        <w:rPr>
          <w:i/>
          <w:sz w:val="20"/>
          <w:szCs w:val="20"/>
        </w:rPr>
        <w:t>Xunzi</w:t>
      </w:r>
      <w:proofErr w:type="spellEnd"/>
      <w:r>
        <w:rPr>
          <w:sz w:val="20"/>
          <w:szCs w:val="20"/>
        </w:rPr>
        <w:t>. Albany: SUNY Press, 81-106.</w:t>
      </w:r>
    </w:p>
    <w:p w14:paraId="1CDDC195" w14:textId="77777777" w:rsidR="00D77625" w:rsidRDefault="00D77625" w:rsidP="00D77625">
      <w:pPr>
        <w:pStyle w:val="BodyText"/>
        <w:adjustRightInd w:val="0"/>
        <w:snapToGrid w:val="0"/>
        <w:spacing w:beforeLines="50" w:before="120" w:after="120"/>
        <w:rPr>
          <w:sz w:val="20"/>
          <w:szCs w:val="20"/>
        </w:rPr>
      </w:pPr>
      <w:r>
        <w:rPr>
          <w:sz w:val="20"/>
          <w:szCs w:val="20"/>
        </w:rPr>
        <w:t xml:space="preserve">Yu, </w:t>
      </w:r>
      <w:proofErr w:type="spellStart"/>
      <w:r>
        <w:rPr>
          <w:sz w:val="20"/>
          <w:szCs w:val="20"/>
        </w:rPr>
        <w:t>Jiyuan</w:t>
      </w:r>
      <w:proofErr w:type="spellEnd"/>
      <w:r>
        <w:rPr>
          <w:sz w:val="20"/>
          <w:szCs w:val="20"/>
        </w:rPr>
        <w:t xml:space="preserve">. 2008. </w:t>
      </w:r>
      <w:r>
        <w:rPr>
          <w:i/>
          <w:sz w:val="20"/>
          <w:szCs w:val="20"/>
        </w:rPr>
        <w:t>The Ethics of Aristotle and Confucius: Mirrors of Virtue</w:t>
      </w:r>
      <w:r>
        <w:rPr>
          <w:sz w:val="20"/>
          <w:szCs w:val="20"/>
        </w:rPr>
        <w:t>. New York: Routledge.</w:t>
      </w:r>
    </w:p>
    <w:p w14:paraId="6402A312" w14:textId="77777777" w:rsidR="00D77625" w:rsidRPr="00D77625" w:rsidRDefault="00D77625" w:rsidP="00D77625">
      <w:pPr>
        <w:pStyle w:val="BodyText"/>
        <w:adjustRightInd w:val="0"/>
        <w:snapToGrid w:val="0"/>
        <w:spacing w:beforeLines="50" w:before="120"/>
        <w:rPr>
          <w:b/>
          <w:sz w:val="20"/>
          <w:szCs w:val="20"/>
        </w:rPr>
      </w:pPr>
    </w:p>
    <w:sectPr w:rsidR="00D77625" w:rsidRPr="00D77625" w:rsidSect="007B3F8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7DFB"/>
    <w:multiLevelType w:val="hybridMultilevel"/>
    <w:tmpl w:val="6248C08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A7"/>
    <w:rsid w:val="00184056"/>
    <w:rsid w:val="007B3F87"/>
    <w:rsid w:val="00A81E36"/>
    <w:rsid w:val="00BA51A7"/>
    <w:rsid w:val="00D7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1D4F"/>
  <w14:defaultImageDpi w14:val="32767"/>
  <w15:chartTrackingRefBased/>
  <w15:docId w15:val="{1E90F6C4-17F9-3348-A838-7A65D946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51A7"/>
    <w:pPr>
      <w:widowControl w:val="0"/>
    </w:pPr>
    <w:rPr>
      <w:rFonts w:ascii="Times New Roman" w:eastAsia="PMingLiU" w:hAnsi="Times New Roman" w:cs="Times New Roman"/>
      <w:kern w:val="2"/>
      <w:lang w:eastAsia="zh-TW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51A7"/>
    <w:pPr>
      <w:keepNext/>
      <w:keepLines/>
      <w:widowControl/>
      <w:spacing w:before="480" w:line="276" w:lineRule="auto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A51A7"/>
    <w:pPr>
      <w:jc w:val="both"/>
    </w:pPr>
  </w:style>
  <w:style w:type="character" w:customStyle="1" w:styleId="BodyTextChar">
    <w:name w:val="Body Text Char"/>
    <w:basedOn w:val="DefaultParagraphFont"/>
    <w:link w:val="BodyText"/>
    <w:rsid w:val="00BA51A7"/>
    <w:rPr>
      <w:rFonts w:ascii="Times New Roman" w:eastAsia="PMingLiU" w:hAnsi="Times New Roman" w:cs="Times New Roman"/>
      <w:kern w:val="2"/>
      <w:lang w:eastAsia="zh-TW"/>
    </w:rPr>
  </w:style>
  <w:style w:type="character" w:customStyle="1" w:styleId="Heading1Char">
    <w:name w:val="Heading 1 Char"/>
    <w:basedOn w:val="DefaultParagraphFont"/>
    <w:link w:val="Heading1"/>
    <w:uiPriority w:val="99"/>
    <w:rsid w:val="00BA51A7"/>
    <w:rPr>
      <w:rFonts w:ascii="Cambria" w:eastAsia="PMingLiU" w:hAnsi="Cambria" w:cs="Times New Roman"/>
      <w:b/>
      <w:bCs/>
      <w:color w:val="365F91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ysearch.lib.cuhk.edu.hk/primo_library/libweb/action/display.do?tabs=detailsTab&amp;ct=display&amp;fn=search&amp;doc=TN_wos000290674900004&amp;indx=28&amp;recIds=TN_wos000290674900004&amp;recIdxs=7&amp;elementId=7&amp;renderMode=poppedOut&amp;displayMode=full&amp;frbrVersion=2&amp;fctN=facet_lang&amp;dscnt=0&amp;rfnGrp=1&amp;scp.scps=primo_central_multiple_fe&amp;fctV=eng&amp;tab=article_tab&amp;dstmp=1406518162195&amp;rfnGrpCounter=1&amp;vl(freeText0)=xunzi&amp;vid=CUHK" TargetMode="External"/><Relationship Id="rId13" Type="http://schemas.openxmlformats.org/officeDocument/2006/relationships/hyperlink" Target="http://easysearch.lib.cuhk.edu.hk/primo_library/libweb/action/display.do?frbrVersion=6&amp;tabs=detailsTab&amp;ct=display&amp;fn=search&amp;doc=TN_museS1529189813200007&amp;indx=16&amp;recIds=TN_museS1529189813200007&amp;recIdxs=5&amp;elementId=5&amp;renderMode=poppedOut&amp;displayMode=full&amp;frbrVersion=6&amp;fctN=facet_creationdate&amp;fctN=facet_rtype&amp;fctN=facet_lang&amp;dscnt=0&amp;rfnGrp=3&amp;rfnGrp=2&amp;rfnGrp=1&amp;fctV=%5B1970+TO+2014%5D&amp;fctV=articles&amp;fctV=eng&amp;tab=article_tab&amp;dstmp=1406624984966&amp;mode=Basic&amp;rfnGrpCounter=3&amp;vl(freeText0)=mencius&amp;vid=CUHK" TargetMode="External"/><Relationship Id="rId18" Type="http://schemas.openxmlformats.org/officeDocument/2006/relationships/hyperlink" Target="http://easysearch.lib.cuhk.edu.hk/primo_library/libweb/action/display.do?frbrVersion=3&amp;tabs=detailsTab&amp;ct=display&amp;fn=search&amp;doc=TN_mla1998070689&amp;indx=148&amp;recIds=TN_mla1998070689&amp;recIdxs=7&amp;elementId=7&amp;renderMode=poppedOut&amp;displayMode=full&amp;frbrVersion=3&amp;fctN=facet_creationdate&amp;fctN=facet_rtype&amp;fctN=facet_lang&amp;dscnt=0&amp;rfnGrp=3&amp;rfnGrp=2&amp;rfnGrp=1&amp;fctV=%5B1970+TO+2014%5D&amp;fctV=articles&amp;fctV=eng&amp;tab=article_tab&amp;dstmp=1406626108808&amp;mode=Basic&amp;rfnGrpCounter=3&amp;vl(freeText0)=mencius&amp;vid=CUH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asysearch.lib.cuhk.edu.hk/primo_library/libweb/action/display.do?tabs=detailsTab&amp;ct=display&amp;fn=search&amp;doc=TN_wos000304112200004&amp;indx=44&amp;recIds=TN_wos000304112200004&amp;recIdxs=3&amp;elementId=3&amp;renderMode=poppedOut&amp;displayMode=full&amp;frbrVersion=4&amp;fctN=facet_lang&amp;dscnt=0&amp;rfnGrp=1&amp;scp.scps=primo_central_multiple_fe&amp;fctV=eng&amp;tab=article_tab&amp;dstmp=1406518515457&amp;rfnGrpCounter=1&amp;vl(freeText0)=xunzi&amp;vid=CUHK" TargetMode="External"/><Relationship Id="rId12" Type="http://schemas.openxmlformats.org/officeDocument/2006/relationships/hyperlink" Target="http://easysearch.lib.cuhk.edu.hk/primo_library/libweb/action/display.do?frbrVersion=5&amp;tabs=detailsTab&amp;ct=display&amp;fn=search&amp;doc=TN_springer_jour10.1007%2fs10677-011-9312-9&amp;indx=149&amp;recIds=TN_springer_jour10.1007%2fs10677-011-9312-9&amp;recIdxs=8&amp;elementId=8&amp;renderMode=poppedOut&amp;displayMode=full&amp;frbrVersion=5&amp;fctN=facet_lang&amp;dscnt=0&amp;rfnGrp=1&amp;scp.scps=primo_central_multiple_fe&amp;fctV=eng&amp;tab=article_tab&amp;dstmp=1406521055632&amp;rfnGrpCounter=1&amp;vl(freeText0)=xunzi&amp;vid=CUHK" TargetMode="External"/><Relationship Id="rId17" Type="http://schemas.openxmlformats.org/officeDocument/2006/relationships/hyperlink" Target="http://easysearch.lib.cuhk.edu.hk/primo_library/libweb/action/display.do?tabs=detailsTab&amp;ct=display&amp;fn=search&amp;doc=TN_wos000228776000002&amp;indx=323&amp;recIds=TN_wos000228776000002&amp;recIdxs=2&amp;elementId=2&amp;renderMode=poppedOut&amp;displayMode=full&amp;frbrVersion=3&amp;fctN=facet_creationdate&amp;fctN=facet_rtype&amp;fctN=facet_lang&amp;dscnt=0&amp;rfnGrp=3&amp;rfnGrp=2&amp;rfnGrp=1&amp;fctV=%5B1970+TO+2014%5D&amp;fctV=articles&amp;fctV=eng&amp;tab=article_tab&amp;dstmp=1406627420964&amp;mode=Basic&amp;rfnGrpCounter=3&amp;vl(freeText0)=mencius&amp;vid=CUHK" TargetMode="External"/><Relationship Id="rId2" Type="http://schemas.openxmlformats.org/officeDocument/2006/relationships/styles" Target="styles.xml"/><Relationship Id="rId16" Type="http://schemas.openxmlformats.org/officeDocument/2006/relationships/hyperlink" Target="http://easysearch.lib.cuhk.edu.hk/primo_library/libweb/action/display.do?tabs=detailsTab&amp;ct=display&amp;fn=search&amp;doc=TN_springer_jour10.1007%2fBF02856995&amp;indx=151&amp;recIds=TN_springer_jour10.1007%2fBF02856995&amp;recIdxs=0&amp;elementId=0&amp;renderMode=poppedOut&amp;displayMode=full&amp;frbrVersion=&amp;dscnt=0&amp;fctN=facet_lang&amp;rfnGrp=1&amp;fctV=eng&amp;tab=all_tab&amp;dstmp=1406474710789&amp;rfnGrpCounter=1&amp;vl(freeText0)=mencius&amp;vid=CUH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asysearch.lib.cuhk.edu.hk/primo_library/libweb/action/search.do?vl(freeText0)=Kim+Chong+Chong&amp;vl(2609337UI0)=creator&amp;vl(13356420UI1)=all_items&amp;fn=search&amp;tab=all_tab&amp;mode=Basic&amp;vid=CUHK&amp;scp.scps=scope%3a(CUHK_III)%2cprimo_central_multiple_fe" TargetMode="External"/><Relationship Id="rId11" Type="http://schemas.openxmlformats.org/officeDocument/2006/relationships/hyperlink" Target="http://easysearch.lib.cuhk.edu.hk/primo_library/libweb/action/display.do?tabs=detailsTab&amp;ct=display&amp;fn=search&amp;doc=TN_wos000078650000001&amp;indx=108&amp;recIds=TN_wos000078650000001&amp;recIdxs=7&amp;elementId=7&amp;renderMode=poppedOut&amp;displayMode=full&amp;frbrVersion=2&amp;fctN=facet_creationdate&amp;fctN=facet_rtype&amp;fctN=facet_lang&amp;dscnt=0&amp;rfnGrp=3&amp;rfnGrp=2&amp;rfnGrp=1&amp;fctV=%5B1970+TO+2014%5D&amp;fctV=articles&amp;fctV=eng&amp;tab=article_tab&amp;dstmp=1406625864078&amp;mode=Basic&amp;rfnGrpCounter=3&amp;vl(freeText0)=mencius&amp;vid=CUHK" TargetMode="External"/><Relationship Id="rId5" Type="http://schemas.openxmlformats.org/officeDocument/2006/relationships/hyperlink" Target="http://link.springer.com/search?facet-author=%22Wai+Wai+Chiu%22" TargetMode="External"/><Relationship Id="rId15" Type="http://schemas.openxmlformats.org/officeDocument/2006/relationships/hyperlink" Target="http://link.springer.com/article/10.1007/s11712-009-9127-8" TargetMode="External"/><Relationship Id="rId10" Type="http://schemas.openxmlformats.org/officeDocument/2006/relationships/hyperlink" Target="http://easysearch.lib.cuhk.edu.hk/primo_library/libweb/action/display.do?frbrVersion=5&amp;tabs=detailsTab&amp;ct=display&amp;fn=search&amp;doc=TN_mla2008392895&amp;indx=189&amp;recIds=TN_mla2008392895&amp;recIdxs=8&amp;elementId=8&amp;renderMode=poppedOut&amp;displayMode=full&amp;frbrVersion=5&amp;fctN=facet_lang&amp;dscnt=0&amp;rfnGrp=1&amp;scp.scps=primo_central_multiple_fe&amp;fctV=eng&amp;tab=article_tab&amp;dstmp=1406521366532&amp;rfnGrpCounter=1&amp;vl(freeText0)=xunzi&amp;vid=CUH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asysearch.lib.cuhk.edu.hk/primo_library/libweb/action/display.do?tabs=detailsTab&amp;ct=display&amp;fn=search&amp;doc=TN_springer_jour10.1007%2fs11712-012-9312-z&amp;indx=31&amp;recIds=TN_springer_jour10.1007%2fs11712-012-9312-z&amp;recIdxs=0&amp;elementId=0&amp;renderMode=poppedOut&amp;displayMode=full&amp;frbrVersion=&amp;fctN=facet_lang&amp;dscnt=0&amp;rfnGrp=1&amp;scp.scps=primo_central_multiple_fe&amp;fctV=eng&amp;tab=article_tab&amp;dstmp=1406518392659&amp;rfnGrpCounter=1&amp;vl(freeText0)=xunzi&amp;vid=CUHK" TargetMode="External"/><Relationship Id="rId14" Type="http://schemas.openxmlformats.org/officeDocument/2006/relationships/hyperlink" Target="http://easysearch.lib.cuhk.edu.hk/primo_library/libweb/action/display.do?frbrVersion=2&amp;tabs=detailsTab&amp;ct=display&amp;fn=search&amp;doc=TN_jstor_archive40018146&amp;indx=1&amp;recIds=TN_jstor_archive40018146&amp;recIdxs=0&amp;elementId=0&amp;renderMode=poppedOut&amp;displayMode=full&amp;frbrVersion=2&amp;dscnt=0&amp;scp.scps=primo_central_multiple_fe&amp;frbg=&amp;tab=article_tab&amp;dstmp=1406602234839&amp;srt=rank&amp;mode=Basic&amp;&amp;dum=true&amp;tb=t&amp;vl(freeText0)=VIRTUES%20IN%20XUNZI%20THOUGHT&amp;vid=CU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3931</Words>
  <Characters>19385</Characters>
  <Application>Microsoft Office Word</Application>
  <DocSecurity>0</DocSecurity>
  <Lines>317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2019-11-28T14:02:00Z</dcterms:created>
  <dcterms:modified xsi:type="dcterms:W3CDTF">2019-11-28T14:21:00Z</dcterms:modified>
</cp:coreProperties>
</file>