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after="0" w:line="240" w:lineRule="auto"/>
        <w:jc w:val="center"/>
        <w:rPr>
          <w:rFonts w:ascii="Calibri" w:hAnsi="Calibri" w:eastAsia="TimesNewRomanPS-BoldMT" w:cs="Calibri"/>
          <w:b/>
          <w:bCs/>
          <w:color w:val="000000"/>
          <w:sz w:val="28"/>
          <w:szCs w:val="28"/>
        </w:rPr>
      </w:pPr>
      <w:r>
        <w:rPr>
          <w:rFonts w:ascii="Calibri" w:hAnsi="Calibri" w:eastAsia="TimesNewRomanPS-BoldMT" w:cs="Calibri"/>
          <w:b/>
          <w:bCs/>
          <w:color w:val="000000"/>
          <w:sz w:val="28"/>
          <w:szCs w:val="28"/>
        </w:rPr>
        <w:t>University of Macau</w:t>
      </w:r>
    </w:p>
    <w:p>
      <w:pPr>
        <w:autoSpaceDE w:val="0"/>
        <w:autoSpaceDN w:val="0"/>
        <w:adjustRightInd w:val="0"/>
        <w:spacing w:after="0" w:line="240" w:lineRule="auto"/>
        <w:jc w:val="center"/>
        <w:rPr>
          <w:rFonts w:hint="default" w:ascii="Calibri" w:hAnsi="Calibri" w:eastAsia="TimesNewRomanPS-BoldMT" w:cs="Calibri"/>
          <w:b/>
          <w:bCs/>
          <w:color w:val="000000"/>
          <w:sz w:val="28"/>
          <w:szCs w:val="28"/>
          <w:lang w:val="en-US"/>
        </w:rPr>
      </w:pPr>
      <w:r>
        <w:rPr>
          <w:rFonts w:hint="default" w:ascii="Calibri" w:hAnsi="Calibri" w:eastAsia="TimesNewRomanPS-BoldMT" w:cs="Calibri"/>
          <w:b/>
          <w:bCs/>
          <w:color w:val="000000"/>
          <w:sz w:val="28"/>
          <w:szCs w:val="28"/>
          <w:lang w:val="en-US"/>
        </w:rPr>
        <w:t>Faculty of Arts and Humanities</w:t>
      </w:r>
    </w:p>
    <w:p>
      <w:pPr>
        <w:autoSpaceDE w:val="0"/>
        <w:autoSpaceDN w:val="0"/>
        <w:adjustRightInd w:val="0"/>
        <w:spacing w:after="0" w:line="240" w:lineRule="auto"/>
        <w:jc w:val="center"/>
        <w:rPr>
          <w:rFonts w:ascii="Calibri" w:hAnsi="Calibri" w:eastAsia="TimesNewRomanPSMT" w:cs="Calibri"/>
          <w:b/>
          <w:bCs/>
          <w:color w:val="000000"/>
          <w:sz w:val="28"/>
          <w:szCs w:val="28"/>
        </w:rPr>
      </w:pPr>
      <w:r>
        <w:rPr>
          <w:rFonts w:ascii="Calibri" w:hAnsi="Calibri" w:eastAsia="TimesNewRomanPSMT" w:cs="Calibri"/>
          <w:b/>
          <w:bCs/>
          <w:color w:val="000000"/>
          <w:sz w:val="28"/>
          <w:szCs w:val="28"/>
        </w:rPr>
        <w:t>Department of Philosophy and Religious Studies</w:t>
      </w:r>
    </w:p>
    <w:p>
      <w:pPr>
        <w:autoSpaceDE w:val="0"/>
        <w:autoSpaceDN w:val="0"/>
        <w:adjustRightInd w:val="0"/>
        <w:spacing w:after="0" w:line="240" w:lineRule="auto"/>
        <w:jc w:val="center"/>
        <w:rPr>
          <w:rFonts w:hint="default" w:ascii="Calibri" w:hAnsi="Calibri" w:eastAsia="Garamond-Bold" w:cs="Calibri"/>
          <w:b/>
          <w:bCs/>
          <w:color w:val="588E31" w:themeColor="accent4" w:themeShade="BF"/>
          <w:sz w:val="28"/>
          <w:szCs w:val="28"/>
          <w:lang w:val="en-US"/>
        </w:rPr>
      </w:pPr>
      <w:r>
        <w:rPr>
          <w:rFonts w:hint="default" w:ascii="Calibri" w:hAnsi="Calibri" w:eastAsia="Garamond-Bold" w:cs="Calibri"/>
          <w:b/>
          <w:bCs/>
          <w:color w:val="588E31" w:themeColor="accent4" w:themeShade="BF"/>
          <w:sz w:val="28"/>
          <w:szCs w:val="28"/>
          <w:lang w:val="en-US"/>
        </w:rPr>
        <w:t>Philosophy and Humour</w:t>
      </w:r>
    </w:p>
    <w:p>
      <w:pPr>
        <w:autoSpaceDE w:val="0"/>
        <w:autoSpaceDN w:val="0"/>
        <w:adjustRightInd w:val="0"/>
        <w:spacing w:after="0" w:line="240" w:lineRule="auto"/>
        <w:jc w:val="both"/>
        <w:rPr>
          <w:rFonts w:ascii="Calibri" w:hAnsi="Calibri" w:eastAsia="Garamond-Bold" w:cs="Calibri"/>
          <w:b/>
          <w:bCs/>
          <w:color w:val="000000"/>
          <w:sz w:val="24"/>
          <w:szCs w:val="24"/>
        </w:rPr>
      </w:pPr>
      <w:bookmarkStart w:id="0" w:name="_GoBack"/>
      <w:bookmarkEnd w:id="0"/>
    </w:p>
    <w:p>
      <w:pPr>
        <w:autoSpaceDE w:val="0"/>
        <w:autoSpaceDN w:val="0"/>
        <w:adjustRightInd w:val="0"/>
        <w:spacing w:after="0" w:line="240" w:lineRule="auto"/>
        <w:jc w:val="center"/>
        <w:rPr>
          <w:rFonts w:ascii="Calibri" w:hAnsi="Calibri" w:eastAsia="DengXian" w:cs="Calibri"/>
          <w:b/>
          <w:bCs/>
          <w:color w:val="000000"/>
          <w:sz w:val="24"/>
          <w:szCs w:val="24"/>
          <w:lang w:val="pt-PT"/>
        </w:rPr>
      </w:pPr>
      <w:r>
        <w:rPr>
          <w:rFonts w:ascii="Calibri" w:hAnsi="Calibri" w:eastAsia="TimesNewRomanPS-BoldMT" w:cs="Calibri"/>
          <w:b/>
          <w:bCs/>
          <w:color w:val="000000"/>
          <w:sz w:val="24"/>
          <w:szCs w:val="24"/>
          <w:lang w:val="pt-PT"/>
        </w:rPr>
        <w:t>Instructor: Dr. Dimitra Amarantidou</w:t>
      </w:r>
    </w:p>
    <w:p>
      <w:pPr>
        <w:spacing w:before="137"/>
      </w:pPr>
    </w:p>
    <w:tbl>
      <w:tblPr>
        <w:tblStyle w:val="7"/>
        <w:tblW w:w="94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12"/>
        <w:gridCol w:w="2852"/>
        <w:gridCol w:w="3510"/>
      </w:tblGrid>
      <w:tr>
        <w:trPr>
          <w:trHeight w:val="369" w:hRule="atLeast"/>
        </w:trPr>
        <w:tc>
          <w:tcPr>
            <w:tcW w:w="3112" w:type="dxa"/>
          </w:tcPr>
          <w:p>
            <w:pPr>
              <w:pStyle w:val="6"/>
              <w:spacing w:before="114" w:line="187" w:lineRule="auto"/>
              <w:ind w:left="116"/>
              <w:rPr>
                <w:rFonts w:hint="default" w:asciiTheme="minorAscii" w:hAnsiTheme="minorAscii"/>
                <w:sz w:val="24"/>
                <w:szCs w:val="24"/>
              </w:rPr>
            </w:pPr>
            <w:r>
              <w:rPr>
                <w:rFonts w:hint="default" w:asciiTheme="minorAscii" w:hAnsiTheme="minorAscii"/>
                <w:b/>
                <w:bCs/>
                <w:spacing w:val="-1"/>
                <w:sz w:val="24"/>
                <w:szCs w:val="24"/>
              </w:rPr>
              <w:t>Course Code</w:t>
            </w:r>
          </w:p>
        </w:tc>
        <w:tc>
          <w:tcPr>
            <w:tcW w:w="6362" w:type="dxa"/>
            <w:gridSpan w:val="2"/>
          </w:tcPr>
          <w:p>
            <w:pPr>
              <w:pStyle w:val="6"/>
              <w:spacing w:before="114" w:line="187" w:lineRule="auto"/>
              <w:ind w:left="112"/>
              <w:rPr>
                <w:rFonts w:hint="default" w:asciiTheme="minorAscii" w:hAnsiTheme="minorAscii"/>
                <w:sz w:val="24"/>
                <w:szCs w:val="24"/>
                <w:lang w:val="en-US"/>
              </w:rPr>
            </w:pPr>
            <w:r>
              <w:rPr>
                <w:rFonts w:hint="default" w:asciiTheme="minorAscii" w:hAnsiTheme="minorAscii"/>
                <w:sz w:val="24"/>
                <w:szCs w:val="24"/>
                <w:lang w:val="en-US"/>
              </w:rPr>
              <w:t>TBA</w:t>
            </w:r>
          </w:p>
        </w:tc>
      </w:tr>
      <w:tr>
        <w:trPr>
          <w:trHeight w:val="364" w:hRule="atLeast"/>
        </w:trPr>
        <w:tc>
          <w:tcPr>
            <w:tcW w:w="3112" w:type="dxa"/>
          </w:tcPr>
          <w:p>
            <w:pPr>
              <w:pStyle w:val="6"/>
              <w:spacing w:before="109" w:line="187" w:lineRule="auto"/>
              <w:ind w:left="116"/>
              <w:rPr>
                <w:rFonts w:hint="default" w:asciiTheme="minorAscii" w:hAnsiTheme="minorAscii"/>
                <w:sz w:val="24"/>
                <w:szCs w:val="24"/>
              </w:rPr>
            </w:pPr>
            <w:r>
              <w:rPr>
                <w:rFonts w:hint="default" w:asciiTheme="minorAscii" w:hAnsiTheme="minorAscii"/>
                <w:b/>
                <w:bCs/>
                <w:spacing w:val="-2"/>
                <w:sz w:val="24"/>
                <w:szCs w:val="24"/>
              </w:rPr>
              <w:t>Course Title</w:t>
            </w:r>
          </w:p>
        </w:tc>
        <w:tc>
          <w:tcPr>
            <w:tcW w:w="6362" w:type="dxa"/>
            <w:gridSpan w:val="2"/>
          </w:tcPr>
          <w:p>
            <w:pPr>
              <w:pStyle w:val="6"/>
              <w:spacing w:before="110" w:line="187" w:lineRule="auto"/>
              <w:ind w:left="113"/>
              <w:rPr>
                <w:rFonts w:hint="default" w:asciiTheme="minorAscii" w:hAnsiTheme="minorAscii"/>
                <w:sz w:val="24"/>
                <w:szCs w:val="24"/>
                <w:lang w:val="en-US"/>
              </w:rPr>
            </w:pPr>
            <w:r>
              <w:rPr>
                <w:rFonts w:hint="default" w:asciiTheme="minorAscii" w:hAnsiTheme="minorAscii"/>
                <w:b/>
                <w:bCs/>
                <w:sz w:val="24"/>
                <w:szCs w:val="24"/>
                <w:lang w:val="en-US"/>
              </w:rPr>
              <w:t>Philosophy and Humour</w:t>
            </w:r>
          </w:p>
        </w:tc>
      </w:tr>
      <w:tr>
        <w:trPr>
          <w:trHeight w:val="2524" w:hRule="atLeast"/>
        </w:trPr>
        <w:tc>
          <w:tcPr>
            <w:tcW w:w="3112" w:type="dxa"/>
          </w:tcPr>
          <w:p>
            <w:pPr>
              <w:pStyle w:val="6"/>
              <w:spacing w:before="110" w:line="360" w:lineRule="exact"/>
              <w:ind w:left="116"/>
              <w:rPr>
                <w:rFonts w:hint="default" w:asciiTheme="minorAscii" w:hAnsiTheme="minorAscii"/>
                <w:sz w:val="24"/>
                <w:szCs w:val="24"/>
              </w:rPr>
            </w:pPr>
            <w:r>
              <w:rPr>
                <w:rFonts w:hint="default" w:asciiTheme="minorAscii" w:hAnsiTheme="minorAscii"/>
                <w:b/>
                <w:bCs/>
                <w:position w:val="14"/>
                <w:sz w:val="24"/>
                <w:szCs w:val="24"/>
              </w:rPr>
              <w:t xml:space="preserve">Course Description, </w:t>
            </w:r>
            <w:r>
              <w:rPr>
                <w:rFonts w:hint="default" w:asciiTheme="minorAscii" w:hAnsiTheme="minorAscii"/>
                <w:b/>
                <w:bCs/>
                <w:spacing w:val="-1"/>
                <w:position w:val="14"/>
                <w:sz w:val="24"/>
                <w:szCs w:val="24"/>
              </w:rPr>
              <w:t>including</w:t>
            </w:r>
          </w:p>
          <w:p>
            <w:pPr>
              <w:pStyle w:val="6"/>
              <w:spacing w:line="187" w:lineRule="auto"/>
              <w:ind w:left="109"/>
              <w:rPr>
                <w:rFonts w:hint="default" w:asciiTheme="minorAscii" w:hAnsiTheme="minorAscii"/>
                <w:sz w:val="24"/>
                <w:szCs w:val="24"/>
              </w:rPr>
            </w:pPr>
            <w:r>
              <w:rPr>
                <w:rFonts w:hint="default" w:asciiTheme="minorAscii" w:hAnsiTheme="minorAscii"/>
                <w:b/>
                <w:bCs/>
                <w:sz w:val="24"/>
                <w:szCs w:val="24"/>
              </w:rPr>
              <w:t>Aims, Objectives</w:t>
            </w:r>
          </w:p>
        </w:tc>
        <w:tc>
          <w:tcPr>
            <w:tcW w:w="6362" w:type="dxa"/>
            <w:gridSpan w:val="2"/>
          </w:tcPr>
          <w:p>
            <w:pPr>
              <w:pStyle w:val="6"/>
              <w:spacing w:before="107" w:line="266" w:lineRule="auto"/>
              <w:ind w:left="111" w:right="626"/>
              <w:jc w:val="both"/>
              <w:rPr>
                <w:rFonts w:hint="default" w:asciiTheme="minorAscii" w:hAnsiTheme="minorAscii"/>
                <w:sz w:val="24"/>
                <w:szCs w:val="24"/>
              </w:rPr>
            </w:pPr>
            <w:r>
              <w:rPr>
                <w:rFonts w:hint="default" w:asciiTheme="minorAscii" w:hAnsiTheme="minorAscii"/>
                <w:spacing w:val="-1"/>
                <w:sz w:val="24"/>
                <w:szCs w:val="24"/>
                <w:lang w:val="en-GB"/>
              </w:rPr>
              <w:t>This course offers an overview of humour in Western and Chinese philosophies.</w:t>
            </w:r>
            <w:r>
              <w:rPr>
                <w:rFonts w:hint="default" w:asciiTheme="minorAscii" w:hAnsiTheme="minorAscii"/>
                <w:spacing w:val="-1"/>
                <w:sz w:val="24"/>
                <w:szCs w:val="24"/>
              </w:rPr>
              <w:t xml:space="preserve"> </w:t>
            </w:r>
            <w:r>
              <w:rPr>
                <w:rFonts w:hint="default" w:asciiTheme="minorAscii" w:hAnsiTheme="minorAscii"/>
                <w:spacing w:val="-1"/>
                <w:sz w:val="24"/>
                <w:szCs w:val="24"/>
                <w:lang w:val="en-GB"/>
              </w:rPr>
              <w:t xml:space="preserve">It looks at humour in philosophical works, as well as at philosophers’ expressed attitudes to humour, and covers major contemporary philosophical theories and explanations of humour. Philosophy offers a great set of tools to help us understand humour, while, at the same time, humour is one of the most engaging ways to think on major philosophical questions.  </w:t>
            </w:r>
          </w:p>
        </w:tc>
      </w:tr>
      <w:tr>
        <w:trPr>
          <w:trHeight w:val="2524" w:hRule="atLeast"/>
        </w:trPr>
        <w:tc>
          <w:tcPr>
            <w:tcW w:w="3112" w:type="dxa"/>
          </w:tcPr>
          <w:p>
            <w:pPr>
              <w:pStyle w:val="6"/>
              <w:spacing w:line="187" w:lineRule="auto"/>
              <w:ind w:left="109"/>
              <w:rPr>
                <w:rFonts w:hint="default" w:asciiTheme="minorAscii" w:hAnsiTheme="minorAscii"/>
                <w:b/>
                <w:bCs/>
                <w:sz w:val="24"/>
                <w:szCs w:val="24"/>
                <w:lang w:val="en-US"/>
              </w:rPr>
            </w:pPr>
            <w:r>
              <w:rPr>
                <w:rFonts w:hint="default" w:asciiTheme="minorAscii" w:hAnsiTheme="minorAscii"/>
                <w:b/>
                <w:bCs/>
                <w:sz w:val="24"/>
                <w:szCs w:val="24"/>
                <w:lang w:val="en-US"/>
              </w:rPr>
              <w:t>Course Content</w:t>
            </w:r>
          </w:p>
          <w:p>
            <w:pPr>
              <w:pStyle w:val="6"/>
              <w:spacing w:line="187" w:lineRule="auto"/>
              <w:ind w:left="109"/>
              <w:rPr>
                <w:rFonts w:hint="default" w:asciiTheme="minorAscii" w:hAnsiTheme="minorAscii"/>
                <w:b/>
                <w:bCs/>
                <w:sz w:val="24"/>
                <w:szCs w:val="24"/>
                <w:lang w:val="en-US"/>
              </w:rPr>
            </w:pPr>
            <w:r>
              <w:rPr>
                <w:rFonts w:hint="default" w:asciiTheme="minorAscii" w:hAnsiTheme="minorAscii"/>
                <w:spacing w:val="-1"/>
                <w:sz w:val="24"/>
                <w:szCs w:val="24"/>
                <w:lang w:val="en-GB"/>
              </w:rPr>
              <w:t>(topic outline)</w:t>
            </w:r>
          </w:p>
        </w:tc>
        <w:tc>
          <w:tcPr>
            <w:tcW w:w="6362" w:type="dxa"/>
            <w:gridSpan w:val="2"/>
          </w:tcPr>
          <w:p>
            <w:pPr>
              <w:pStyle w:val="6"/>
              <w:spacing w:before="107" w:line="266" w:lineRule="auto"/>
              <w:ind w:left="111" w:right="626"/>
              <w:jc w:val="both"/>
              <w:rPr>
                <w:rFonts w:hint="default" w:asciiTheme="minorAscii" w:hAnsiTheme="minorAscii"/>
                <w:spacing w:val="-1"/>
                <w:sz w:val="24"/>
                <w:szCs w:val="24"/>
                <w:lang w:val="en-GB"/>
              </w:rPr>
            </w:pPr>
            <w:r>
              <w:rPr>
                <w:rFonts w:hint="default" w:asciiTheme="minorAscii" w:hAnsiTheme="minorAscii"/>
                <w:spacing w:val="-1"/>
                <w:sz w:val="24"/>
                <w:szCs w:val="24"/>
                <w:lang w:val="en-GB"/>
              </w:rPr>
              <w:t>Humour is an indispensable aspect of our life and interaction with others, and therefore a topic worth exploring and understanding. But what is humour and how does it work? Many theorists have tried to tackle this question from different perspectives. In this course we take the philosophical perspective to look at, appreciate, and understand humour. The course offers an overview of the different ways in which philosophers have understood and used humour, as well as the different theories put forth by philosophers to explain humour. The course is therefore a philosophical introduction to humour, but also a “humorous” introduction to philosophy. We will look at attitudes to humour, as well as uses and analyses of humour in the classical Greek, Roman, and later Western philosophical traditions. We will also look at humour in the two major Chinese philosophical traditions, Confucianism and Daoism, while we will also discuss humour in the work of the father of the term </w:t>
            </w:r>
            <w:r>
              <w:rPr>
                <w:rFonts w:hint="default" w:asciiTheme="minorAscii" w:hAnsiTheme="minorAscii"/>
                <w:i/>
                <w:iCs/>
                <w:spacing w:val="-1"/>
                <w:sz w:val="24"/>
                <w:szCs w:val="24"/>
                <w:lang w:val="en-GB"/>
              </w:rPr>
              <w:t>youmo </w:t>
            </w:r>
            <w:r>
              <w:rPr>
                <w:rFonts w:hint="default" w:asciiTheme="minorAscii" w:hAnsiTheme="minorAscii"/>
                <w:spacing w:val="-1"/>
                <w:sz w:val="24"/>
                <w:szCs w:val="24"/>
                <w:lang w:val="en-GB"/>
              </w:rPr>
              <w:t>幽默 (humour) in Chinese, the satirist and philosopher Lin Yutang 林語堂. </w:t>
            </w:r>
          </w:p>
        </w:tc>
      </w:tr>
      <w:tr>
        <w:trPr>
          <w:trHeight w:val="2884" w:hRule="atLeast"/>
        </w:trPr>
        <w:tc>
          <w:tcPr>
            <w:tcW w:w="3112" w:type="dxa"/>
          </w:tcPr>
          <w:p>
            <w:pPr>
              <w:pStyle w:val="6"/>
              <w:spacing w:before="111" w:line="187" w:lineRule="auto"/>
              <w:ind w:left="112"/>
              <w:rPr>
                <w:rFonts w:hint="default" w:asciiTheme="minorAscii" w:hAnsiTheme="minorAscii"/>
                <w:sz w:val="24"/>
                <w:szCs w:val="24"/>
                <w:lang w:val="en-US"/>
              </w:rPr>
            </w:pPr>
            <w:r>
              <w:rPr>
                <w:rFonts w:hint="default" w:asciiTheme="minorAscii" w:hAnsiTheme="minorAscii"/>
                <w:b/>
                <w:bCs/>
                <w:sz w:val="24"/>
                <w:szCs w:val="24"/>
              </w:rPr>
              <w:t>Intended Learning O</w:t>
            </w:r>
            <w:r>
              <w:rPr>
                <w:rFonts w:hint="default" w:asciiTheme="minorAscii" w:hAnsiTheme="minorAscii"/>
                <w:b/>
                <w:bCs/>
                <w:spacing w:val="-1"/>
                <w:sz w:val="24"/>
                <w:szCs w:val="24"/>
              </w:rPr>
              <w:t>utcome</w:t>
            </w:r>
            <w:r>
              <w:rPr>
                <w:rFonts w:hint="default" w:asciiTheme="minorAscii" w:hAnsiTheme="minorAscii"/>
                <w:b/>
                <w:bCs/>
                <w:spacing w:val="-1"/>
                <w:sz w:val="24"/>
                <w:szCs w:val="24"/>
                <w:lang w:val="en-US"/>
              </w:rPr>
              <w:t>s</w:t>
            </w:r>
          </w:p>
        </w:tc>
        <w:tc>
          <w:tcPr>
            <w:tcW w:w="6362" w:type="dxa"/>
            <w:gridSpan w:val="2"/>
          </w:tcPr>
          <w:p>
            <w:pPr>
              <w:pStyle w:val="6"/>
              <w:spacing w:before="159" w:line="266" w:lineRule="auto"/>
              <w:ind w:left="111" w:right="111" w:firstLine="2"/>
              <w:rPr>
                <w:rFonts w:hint="default" w:asciiTheme="minorAscii" w:hAnsiTheme="minorAscii"/>
                <w:sz w:val="24"/>
                <w:szCs w:val="24"/>
                <w:lang w:val="en-US"/>
              </w:rPr>
            </w:pPr>
            <w:r>
              <w:rPr>
                <w:rFonts w:hint="default" w:asciiTheme="minorAscii" w:hAnsiTheme="minorAscii"/>
                <w:sz w:val="24"/>
                <w:szCs w:val="24"/>
                <w:lang w:val="en-US"/>
              </w:rPr>
              <w:t>Upon completion of this course, students will be able to:</w:t>
            </w:r>
          </w:p>
          <w:p>
            <w:pPr>
              <w:pStyle w:val="6"/>
              <w:numPr>
                <w:ilvl w:val="0"/>
                <w:numId w:val="1"/>
              </w:numPr>
              <w:spacing w:before="159" w:line="266" w:lineRule="auto"/>
              <w:ind w:left="111" w:right="111" w:firstLine="2"/>
              <w:rPr>
                <w:rFonts w:hint="default" w:asciiTheme="minorAscii" w:hAnsiTheme="minorAscii"/>
                <w:sz w:val="24"/>
                <w:szCs w:val="24"/>
                <w:lang w:val="en-US"/>
              </w:rPr>
            </w:pPr>
            <w:r>
              <w:rPr>
                <w:rFonts w:hint="default" w:asciiTheme="minorAscii" w:hAnsiTheme="minorAscii"/>
                <w:sz w:val="24"/>
                <w:szCs w:val="24"/>
                <w:lang w:val="en-US" w:eastAsia="zh-TW"/>
              </w:rPr>
              <w:t>Define philosophical theories of humour and describe its role in human life and interactions.</w:t>
            </w:r>
          </w:p>
          <w:p>
            <w:pPr>
              <w:pStyle w:val="6"/>
              <w:numPr>
                <w:ilvl w:val="0"/>
                <w:numId w:val="1"/>
              </w:numPr>
              <w:spacing w:before="159" w:line="266" w:lineRule="auto"/>
              <w:ind w:left="111" w:leftChars="0" w:right="111" w:firstLine="2" w:firstLineChars="0"/>
              <w:rPr>
                <w:rFonts w:hint="default" w:asciiTheme="minorAscii" w:hAnsiTheme="minorAscii"/>
                <w:sz w:val="24"/>
                <w:szCs w:val="24"/>
                <w:lang w:val="en-US"/>
              </w:rPr>
            </w:pPr>
            <w:r>
              <w:rPr>
                <w:rFonts w:hint="default" w:asciiTheme="minorAscii" w:hAnsiTheme="minorAscii"/>
                <w:sz w:val="24"/>
                <w:szCs w:val="24"/>
                <w:lang w:val="en-US"/>
              </w:rPr>
              <w:t>Explain various uses of and attitudes toward humour in Western and Chinese philosophical traditions.</w:t>
            </w:r>
          </w:p>
          <w:p>
            <w:pPr>
              <w:pStyle w:val="6"/>
              <w:numPr>
                <w:ilvl w:val="0"/>
                <w:numId w:val="1"/>
              </w:numPr>
              <w:spacing w:before="159" w:line="266" w:lineRule="auto"/>
              <w:ind w:left="111" w:leftChars="0" w:right="111" w:firstLine="2" w:firstLineChars="0"/>
              <w:rPr>
                <w:rFonts w:hint="default" w:asciiTheme="minorAscii" w:hAnsiTheme="minorAscii"/>
                <w:sz w:val="24"/>
                <w:szCs w:val="24"/>
                <w:lang w:val="en-US"/>
              </w:rPr>
            </w:pPr>
            <w:r>
              <w:rPr>
                <w:rFonts w:hint="default" w:asciiTheme="minorAscii" w:hAnsiTheme="minorAscii"/>
                <w:sz w:val="24"/>
                <w:szCs w:val="24"/>
                <w:lang w:val="en-US" w:eastAsia="zh-TW"/>
              </w:rPr>
              <w:t>Identify major philosophers and texts in Western and Chinese traditions that implement or discuss humour.</w:t>
            </w:r>
          </w:p>
          <w:p>
            <w:pPr>
              <w:pStyle w:val="6"/>
              <w:numPr>
                <w:ilvl w:val="0"/>
                <w:numId w:val="1"/>
              </w:numPr>
              <w:spacing w:before="159" w:line="266" w:lineRule="auto"/>
              <w:ind w:left="111" w:leftChars="0" w:right="111" w:firstLine="2" w:firstLineChars="0"/>
              <w:rPr>
                <w:rFonts w:hint="default" w:asciiTheme="minorAscii" w:hAnsiTheme="minorAscii"/>
                <w:sz w:val="24"/>
                <w:szCs w:val="24"/>
                <w:lang w:val="en-US"/>
              </w:rPr>
            </w:pPr>
            <w:r>
              <w:rPr>
                <w:rFonts w:hint="default" w:asciiTheme="minorAscii" w:hAnsiTheme="minorAscii"/>
                <w:sz w:val="24"/>
                <w:szCs w:val="24"/>
                <w:lang w:val="en-US"/>
              </w:rPr>
              <w:t>Interpret philosophical ideas from Western and Chinese traditions from the perspective of humour.</w:t>
            </w:r>
          </w:p>
          <w:p>
            <w:pPr>
              <w:pStyle w:val="6"/>
              <w:numPr>
                <w:ilvl w:val="0"/>
                <w:numId w:val="1"/>
              </w:numPr>
              <w:spacing w:before="159" w:line="266" w:lineRule="auto"/>
              <w:ind w:left="111" w:leftChars="0" w:right="111" w:firstLine="2" w:firstLineChars="0"/>
              <w:rPr>
                <w:rFonts w:hint="default" w:asciiTheme="minorAscii" w:hAnsiTheme="minorAscii"/>
                <w:sz w:val="24"/>
                <w:szCs w:val="24"/>
                <w:lang w:val="en-US"/>
              </w:rPr>
            </w:pPr>
            <w:r>
              <w:rPr>
                <w:rFonts w:hint="default" w:asciiTheme="minorAscii" w:hAnsiTheme="minorAscii"/>
                <w:sz w:val="24"/>
                <w:szCs w:val="24"/>
                <w:lang w:val="en-US"/>
              </w:rPr>
              <w:t>Compare diverse understandings and expressions of humour in different cultures.</w:t>
            </w:r>
          </w:p>
        </w:tc>
      </w:tr>
      <w:tr>
        <w:trPr>
          <w:trHeight w:val="364" w:hRule="atLeast"/>
        </w:trPr>
        <w:tc>
          <w:tcPr>
            <w:tcW w:w="3112" w:type="dxa"/>
            <w:vMerge w:val="restart"/>
            <w:tcBorders>
              <w:bottom w:val="nil"/>
            </w:tcBorders>
          </w:tcPr>
          <w:p>
            <w:pPr>
              <w:pStyle w:val="6"/>
              <w:spacing w:before="112" w:line="187" w:lineRule="auto"/>
              <w:ind w:left="109"/>
              <w:rPr>
                <w:rFonts w:hint="default" w:asciiTheme="minorAscii" w:hAnsiTheme="minorAscii"/>
                <w:sz w:val="24"/>
                <w:szCs w:val="24"/>
              </w:rPr>
            </w:pPr>
            <w:r>
              <w:rPr>
                <w:rFonts w:hint="default" w:asciiTheme="minorAscii" w:hAnsiTheme="minorAscii"/>
                <w:b/>
                <w:bCs/>
                <w:sz w:val="24"/>
                <w:szCs w:val="24"/>
              </w:rPr>
              <w:t>Assessment</w:t>
            </w:r>
          </w:p>
        </w:tc>
        <w:tc>
          <w:tcPr>
            <w:tcW w:w="2852" w:type="dxa"/>
          </w:tcPr>
          <w:p>
            <w:pPr>
              <w:pStyle w:val="6"/>
              <w:spacing w:before="111" w:line="188" w:lineRule="auto"/>
              <w:ind w:left="109"/>
              <w:rPr>
                <w:rFonts w:hint="default" w:asciiTheme="minorAscii" w:hAnsiTheme="minorAscii"/>
                <w:sz w:val="24"/>
                <w:szCs w:val="24"/>
              </w:rPr>
            </w:pPr>
            <w:r>
              <w:rPr>
                <w:rFonts w:hint="default" w:asciiTheme="minorAscii" w:hAnsiTheme="minorAscii"/>
                <w:b/>
                <w:bCs/>
                <w:sz w:val="24"/>
                <w:szCs w:val="24"/>
              </w:rPr>
              <w:t>In-class participat</w:t>
            </w:r>
            <w:r>
              <w:rPr>
                <w:rFonts w:hint="default" w:asciiTheme="minorAscii" w:hAnsiTheme="minorAscii"/>
                <w:b/>
                <w:bCs/>
                <w:spacing w:val="-1"/>
                <w:sz w:val="24"/>
                <w:szCs w:val="24"/>
              </w:rPr>
              <w:t>ion</w:t>
            </w:r>
          </w:p>
        </w:tc>
        <w:tc>
          <w:tcPr>
            <w:tcW w:w="3510" w:type="dxa"/>
          </w:tcPr>
          <w:p>
            <w:pPr>
              <w:pStyle w:val="6"/>
              <w:spacing w:before="112" w:line="187" w:lineRule="auto"/>
              <w:ind w:left="452"/>
              <w:rPr>
                <w:rFonts w:hint="default" w:asciiTheme="minorAscii" w:hAnsiTheme="minorAscii"/>
                <w:sz w:val="24"/>
                <w:szCs w:val="24"/>
              </w:rPr>
            </w:pPr>
            <w:r>
              <w:rPr>
                <w:rFonts w:hint="default" w:asciiTheme="minorAscii" w:hAnsiTheme="minorAscii"/>
                <w:b/>
                <w:bCs/>
                <w:spacing w:val="-3"/>
                <w:sz w:val="24"/>
                <w:szCs w:val="24"/>
              </w:rPr>
              <w:t>10%</w:t>
            </w:r>
          </w:p>
        </w:tc>
      </w:tr>
      <w:tr>
        <w:trPr>
          <w:trHeight w:val="367" w:hRule="atLeast"/>
        </w:trPr>
        <w:tc>
          <w:tcPr>
            <w:tcW w:w="3112" w:type="dxa"/>
            <w:vMerge w:val="continue"/>
            <w:tcBorders>
              <w:top w:val="nil"/>
              <w:bottom w:val="nil"/>
            </w:tcBorders>
          </w:tcPr>
          <w:p>
            <w:pPr>
              <w:rPr>
                <w:rFonts w:hint="default" w:asciiTheme="minorAscii" w:hAnsiTheme="minorAscii"/>
                <w:sz w:val="24"/>
                <w:szCs w:val="24"/>
              </w:rPr>
            </w:pPr>
          </w:p>
        </w:tc>
        <w:tc>
          <w:tcPr>
            <w:tcW w:w="2852" w:type="dxa"/>
          </w:tcPr>
          <w:p>
            <w:pPr>
              <w:pStyle w:val="6"/>
              <w:spacing w:before="114" w:line="188" w:lineRule="auto"/>
              <w:ind w:left="109"/>
              <w:rPr>
                <w:rFonts w:hint="default" w:asciiTheme="minorAscii" w:hAnsiTheme="minorAscii"/>
                <w:sz w:val="24"/>
                <w:szCs w:val="24"/>
              </w:rPr>
            </w:pPr>
            <w:r>
              <w:rPr>
                <w:rFonts w:hint="default" w:asciiTheme="minorAscii" w:hAnsiTheme="minorAscii"/>
                <w:b/>
                <w:bCs/>
                <w:spacing w:val="-1"/>
                <w:sz w:val="24"/>
                <w:szCs w:val="24"/>
              </w:rPr>
              <w:t>In-class quizzes</w:t>
            </w:r>
          </w:p>
        </w:tc>
        <w:tc>
          <w:tcPr>
            <w:tcW w:w="3510" w:type="dxa"/>
          </w:tcPr>
          <w:p>
            <w:pPr>
              <w:pStyle w:val="6"/>
              <w:spacing w:before="115" w:line="187" w:lineRule="auto"/>
              <w:ind w:left="443"/>
              <w:rPr>
                <w:rFonts w:hint="default" w:asciiTheme="minorAscii" w:hAnsiTheme="minorAscii"/>
                <w:sz w:val="24"/>
                <w:szCs w:val="24"/>
              </w:rPr>
            </w:pPr>
            <w:r>
              <w:rPr>
                <w:rFonts w:hint="default" w:asciiTheme="minorAscii" w:hAnsiTheme="minorAscii"/>
                <w:b/>
                <w:bCs/>
                <w:spacing w:val="-1"/>
                <w:sz w:val="24"/>
                <w:szCs w:val="24"/>
              </w:rPr>
              <w:t>20%</w:t>
            </w:r>
          </w:p>
        </w:tc>
      </w:tr>
      <w:tr>
        <w:trPr>
          <w:trHeight w:val="365" w:hRule="atLeast"/>
        </w:trPr>
        <w:tc>
          <w:tcPr>
            <w:tcW w:w="3112" w:type="dxa"/>
            <w:vMerge w:val="continue"/>
            <w:tcBorders>
              <w:top w:val="nil"/>
              <w:bottom w:val="nil"/>
            </w:tcBorders>
          </w:tcPr>
          <w:p>
            <w:pPr>
              <w:rPr>
                <w:rFonts w:hint="default" w:asciiTheme="minorAscii" w:hAnsiTheme="minorAscii"/>
                <w:sz w:val="24"/>
                <w:szCs w:val="24"/>
              </w:rPr>
            </w:pPr>
          </w:p>
        </w:tc>
        <w:tc>
          <w:tcPr>
            <w:tcW w:w="2852" w:type="dxa"/>
          </w:tcPr>
          <w:p>
            <w:pPr>
              <w:pStyle w:val="6"/>
              <w:spacing w:before="113" w:line="229" w:lineRule="auto"/>
              <w:ind w:left="109"/>
              <w:rPr>
                <w:rFonts w:hint="default" w:asciiTheme="minorAscii" w:hAnsiTheme="minorAscii"/>
                <w:sz w:val="24"/>
                <w:szCs w:val="24"/>
              </w:rPr>
            </w:pPr>
            <w:r>
              <w:rPr>
                <w:rFonts w:hint="default" w:asciiTheme="minorAscii" w:hAnsiTheme="minorAscii"/>
                <w:b/>
                <w:bCs/>
                <w:spacing w:val="-1"/>
                <w:sz w:val="24"/>
                <w:szCs w:val="24"/>
              </w:rPr>
              <w:t>Midterm examination</w:t>
            </w:r>
          </w:p>
        </w:tc>
        <w:tc>
          <w:tcPr>
            <w:tcW w:w="3510" w:type="dxa"/>
          </w:tcPr>
          <w:p>
            <w:pPr>
              <w:pStyle w:val="6"/>
              <w:spacing w:before="113" w:line="187" w:lineRule="auto"/>
              <w:ind w:left="441"/>
              <w:rPr>
                <w:rFonts w:hint="default" w:asciiTheme="minorAscii" w:hAnsiTheme="minorAscii"/>
                <w:sz w:val="24"/>
                <w:szCs w:val="24"/>
              </w:rPr>
            </w:pPr>
            <w:r>
              <w:rPr>
                <w:rFonts w:hint="default" w:asciiTheme="minorAscii" w:hAnsiTheme="minorAscii"/>
                <w:b/>
                <w:bCs/>
                <w:spacing w:val="-1"/>
                <w:sz w:val="24"/>
                <w:szCs w:val="24"/>
              </w:rPr>
              <w:t>30%</w:t>
            </w:r>
          </w:p>
        </w:tc>
      </w:tr>
      <w:tr>
        <w:trPr>
          <w:trHeight w:val="365" w:hRule="atLeast"/>
        </w:trPr>
        <w:tc>
          <w:tcPr>
            <w:tcW w:w="3112" w:type="dxa"/>
            <w:vMerge w:val="continue"/>
            <w:tcBorders>
              <w:top w:val="nil"/>
            </w:tcBorders>
          </w:tcPr>
          <w:p>
            <w:pPr>
              <w:rPr>
                <w:rFonts w:hint="default" w:asciiTheme="minorAscii" w:hAnsiTheme="minorAscii"/>
                <w:sz w:val="24"/>
                <w:szCs w:val="24"/>
              </w:rPr>
            </w:pPr>
          </w:p>
        </w:tc>
        <w:tc>
          <w:tcPr>
            <w:tcW w:w="2852" w:type="dxa"/>
          </w:tcPr>
          <w:p>
            <w:pPr>
              <w:pStyle w:val="6"/>
              <w:spacing w:before="112" w:line="230" w:lineRule="auto"/>
              <w:ind w:left="109"/>
              <w:rPr>
                <w:rFonts w:hint="default" w:asciiTheme="minorAscii" w:hAnsiTheme="minorAscii"/>
                <w:sz w:val="24"/>
                <w:szCs w:val="24"/>
              </w:rPr>
            </w:pPr>
            <w:r>
              <w:rPr>
                <w:rFonts w:hint="default" w:asciiTheme="minorAscii" w:hAnsiTheme="minorAscii"/>
                <w:b/>
                <w:bCs/>
                <w:spacing w:val="-1"/>
                <w:sz w:val="24"/>
                <w:szCs w:val="24"/>
              </w:rPr>
              <w:t>Final examination</w:t>
            </w:r>
          </w:p>
        </w:tc>
        <w:tc>
          <w:tcPr>
            <w:tcW w:w="3510" w:type="dxa"/>
          </w:tcPr>
          <w:p>
            <w:pPr>
              <w:pStyle w:val="6"/>
              <w:spacing w:before="113" w:line="226" w:lineRule="auto"/>
              <w:ind w:left="443"/>
              <w:rPr>
                <w:rFonts w:hint="default" w:asciiTheme="minorAscii" w:hAnsiTheme="minorAscii"/>
                <w:sz w:val="24"/>
                <w:szCs w:val="24"/>
              </w:rPr>
            </w:pPr>
            <w:r>
              <w:rPr>
                <w:rFonts w:hint="default" w:asciiTheme="minorAscii" w:hAnsiTheme="minorAscii"/>
                <w:b/>
                <w:bCs/>
                <w:spacing w:val="-2"/>
                <w:sz w:val="24"/>
                <w:szCs w:val="24"/>
              </w:rPr>
              <w:t>40%</w:t>
            </w:r>
          </w:p>
        </w:tc>
      </w:tr>
      <w:tr>
        <w:trPr>
          <w:trHeight w:val="724" w:hRule="atLeast"/>
        </w:trPr>
        <w:tc>
          <w:tcPr>
            <w:tcW w:w="3112" w:type="dxa"/>
          </w:tcPr>
          <w:p>
            <w:pPr>
              <w:pStyle w:val="6"/>
              <w:spacing w:before="112" w:line="188" w:lineRule="auto"/>
              <w:ind w:left="113"/>
              <w:rPr>
                <w:rFonts w:hint="default" w:asciiTheme="minorAscii" w:hAnsiTheme="minorAscii"/>
                <w:sz w:val="24"/>
                <w:szCs w:val="24"/>
              </w:rPr>
            </w:pPr>
            <w:r>
              <w:rPr>
                <w:rFonts w:hint="default" w:asciiTheme="minorAscii" w:hAnsiTheme="minorAscii"/>
                <w:b/>
                <w:bCs/>
                <w:spacing w:val="-1"/>
                <w:sz w:val="24"/>
                <w:szCs w:val="24"/>
              </w:rPr>
              <w:t>Prerequisites</w:t>
            </w:r>
          </w:p>
        </w:tc>
        <w:tc>
          <w:tcPr>
            <w:tcW w:w="6362" w:type="dxa"/>
            <w:gridSpan w:val="2"/>
          </w:tcPr>
          <w:p>
            <w:pPr>
              <w:pStyle w:val="6"/>
              <w:spacing w:before="115" w:line="184" w:lineRule="auto"/>
              <w:ind w:left="102"/>
              <w:rPr>
                <w:rFonts w:hint="default" w:asciiTheme="minorAscii" w:hAnsiTheme="minorAscii"/>
                <w:sz w:val="24"/>
                <w:szCs w:val="24"/>
              </w:rPr>
            </w:pPr>
            <w:r>
              <w:rPr>
                <w:rFonts w:hint="default" w:asciiTheme="minorAscii" w:hAnsiTheme="minorAscii"/>
                <w:sz w:val="24"/>
                <w:szCs w:val="24"/>
              </w:rPr>
              <w:t>None</w:t>
            </w:r>
          </w:p>
        </w:tc>
      </w:tr>
      <w:tr>
        <w:trPr>
          <w:trHeight w:val="5408" w:hRule="atLeast"/>
        </w:trPr>
        <w:tc>
          <w:tcPr>
            <w:tcW w:w="3112" w:type="dxa"/>
          </w:tcPr>
          <w:p>
            <w:pPr>
              <w:spacing w:line="253" w:lineRule="auto"/>
              <w:rPr>
                <w:rFonts w:hint="default" w:asciiTheme="minorAscii" w:hAnsiTheme="minorAscii"/>
                <w:sz w:val="24"/>
                <w:szCs w:val="24"/>
              </w:rPr>
            </w:pPr>
          </w:p>
          <w:p>
            <w:pPr>
              <w:spacing w:line="254" w:lineRule="auto"/>
              <w:rPr>
                <w:rFonts w:hint="default" w:asciiTheme="minorAscii" w:hAnsiTheme="minorAscii"/>
                <w:sz w:val="24"/>
                <w:szCs w:val="24"/>
              </w:rPr>
            </w:pPr>
          </w:p>
          <w:p>
            <w:pPr>
              <w:spacing w:line="254" w:lineRule="auto"/>
              <w:rPr>
                <w:rFonts w:hint="default" w:asciiTheme="minorAscii" w:hAnsiTheme="minorAscii"/>
                <w:sz w:val="24"/>
                <w:szCs w:val="24"/>
              </w:rPr>
            </w:pPr>
          </w:p>
          <w:p>
            <w:pPr>
              <w:pStyle w:val="6"/>
              <w:spacing w:before="63" w:line="191" w:lineRule="auto"/>
              <w:ind w:left="111"/>
              <w:rPr>
                <w:rFonts w:hint="default" w:asciiTheme="minorAscii" w:hAnsiTheme="minorAscii"/>
                <w:sz w:val="24"/>
                <w:szCs w:val="24"/>
              </w:rPr>
            </w:pPr>
            <w:r>
              <w:rPr>
                <w:rFonts w:hint="default" w:asciiTheme="minorAscii" w:hAnsiTheme="minorAscii"/>
                <w:spacing w:val="-1"/>
                <w:sz w:val="24"/>
                <w:szCs w:val="24"/>
              </w:rPr>
              <w:t>Basic Reading List</w:t>
            </w:r>
          </w:p>
        </w:tc>
        <w:tc>
          <w:tcPr>
            <w:tcW w:w="6362" w:type="dxa"/>
            <w:gridSpan w:val="2"/>
          </w:tcPr>
          <w:p>
            <w:pPr>
              <w:pStyle w:val="6"/>
              <w:spacing w:before="113" w:line="187" w:lineRule="auto"/>
              <w:ind w:left="123"/>
              <w:rPr>
                <w:rFonts w:hint="default" w:asciiTheme="minorAscii" w:hAnsiTheme="minorAscii"/>
                <w:sz w:val="24"/>
                <w:szCs w:val="24"/>
                <w:lang w:val="en-US"/>
              </w:rPr>
            </w:pPr>
            <w:r>
              <w:rPr>
                <w:rFonts w:hint="default" w:asciiTheme="minorAscii" w:hAnsiTheme="minorAscii"/>
                <w:position w:val="1"/>
                <w:sz w:val="24"/>
                <w:szCs w:val="24"/>
                <w:lang w:eastAsia="zh-TW"/>
              </w:rPr>
              <w:drawing>
                <wp:inline distT="0" distB="0" distL="0" distR="0">
                  <wp:extent cx="80645" cy="81915"/>
                  <wp:effectExtent l="0" t="0" r="20955" b="19685"/>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4"/>
                          <a:stretch>
                            <a:fillRect/>
                          </a:stretch>
                        </pic:blipFill>
                        <pic:spPr>
                          <a:xfrm>
                            <a:off x="0" y="0"/>
                            <a:ext cx="81180" cy="82442"/>
                          </a:xfrm>
                          <a:prstGeom prst="rect">
                            <a:avLst/>
                          </a:prstGeom>
                        </pic:spPr>
                      </pic:pic>
                    </a:graphicData>
                  </a:graphic>
                </wp:inline>
              </w:drawing>
            </w:r>
            <w:r>
              <w:rPr>
                <w:rFonts w:hint="default" w:asciiTheme="minorAscii" w:hAnsiTheme="minorAscii"/>
                <w:b/>
                <w:bCs/>
                <w:spacing w:val="3"/>
                <w:sz w:val="24"/>
                <w:szCs w:val="24"/>
              </w:rPr>
              <w:t xml:space="preserve">     </w:t>
            </w:r>
            <w:r>
              <w:rPr>
                <w:rFonts w:hint="default" w:asciiTheme="minorAscii" w:hAnsiTheme="minorAscii"/>
                <w:b/>
                <w:bCs/>
                <w:spacing w:val="-1"/>
                <w:sz w:val="24"/>
                <w:szCs w:val="24"/>
              </w:rPr>
              <w:t>Compulsory Reading</w:t>
            </w:r>
            <w:r>
              <w:rPr>
                <w:rFonts w:hint="default" w:asciiTheme="minorAscii" w:hAnsiTheme="minorAscii"/>
                <w:b/>
                <w:bCs/>
                <w:spacing w:val="-1"/>
                <w:sz w:val="24"/>
                <w:szCs w:val="24"/>
                <w:lang w:val="en-US"/>
              </w:rPr>
              <w:t xml:space="preserve"> </w:t>
            </w:r>
          </w:p>
          <w:p>
            <w:pPr>
              <w:pStyle w:val="6"/>
              <w:spacing w:before="123" w:line="266" w:lineRule="auto"/>
              <w:ind w:left="109" w:right="275" w:firstLine="4"/>
              <w:rPr>
                <w:rFonts w:hint="default" w:eastAsia="Times New Roman" w:cs="Times New Roman" w:asciiTheme="minorAscii" w:hAnsiTheme="minorAscii"/>
                <w:snapToGrid w:val="0"/>
                <w:color w:val="000000"/>
                <w:spacing w:val="-2"/>
                <w:sz w:val="24"/>
                <w:szCs w:val="24"/>
                <w:lang w:val="en-US" w:eastAsia="en-US" w:bidi="ar-SA"/>
              </w:rPr>
            </w:pPr>
            <w:r>
              <w:rPr>
                <w:rFonts w:hint="default" w:asciiTheme="minorAscii" w:hAnsiTheme="minorAscii"/>
                <w:sz w:val="24"/>
                <w:szCs w:val="24"/>
              </w:rPr>
              <w:t>-</w:t>
            </w:r>
            <w:r>
              <w:rPr>
                <w:rFonts w:hint="default" w:asciiTheme="minorAscii" w:hAnsiTheme="minorAscii"/>
                <w:sz w:val="24"/>
                <w:szCs w:val="24"/>
                <w:lang w:val="en-US"/>
              </w:rPr>
              <w:t xml:space="preserve">Harbsmeier, C. (1990). </w:t>
            </w:r>
            <w:r>
              <w:rPr>
                <w:rFonts w:hint="default" w:eastAsia="Times New Roman" w:cs="Times New Roman" w:asciiTheme="minorAscii" w:hAnsiTheme="minorAscii"/>
                <w:snapToGrid w:val="0"/>
                <w:color w:val="000000"/>
                <w:spacing w:val="-2"/>
                <w:sz w:val="24"/>
                <w:szCs w:val="24"/>
                <w:lang w:val="en-US" w:eastAsia="en-US" w:bidi="ar-SA"/>
              </w:rPr>
              <w:t xml:space="preserve">“Confucius Ridens: Humor in the </w:t>
            </w:r>
            <w:r>
              <w:rPr>
                <w:rFonts w:hint="default" w:eastAsia="Times New Roman" w:cs="Times New Roman" w:asciiTheme="minorAscii" w:hAnsiTheme="minorAscii"/>
                <w:i/>
                <w:iCs/>
                <w:snapToGrid w:val="0"/>
                <w:color w:val="000000"/>
                <w:spacing w:val="-2"/>
                <w:sz w:val="24"/>
                <w:szCs w:val="24"/>
                <w:lang w:val="en-US" w:eastAsia="en-US" w:bidi="ar-SA"/>
              </w:rPr>
              <w:t>Analects</w:t>
            </w:r>
            <w:r>
              <w:rPr>
                <w:rFonts w:hint="default" w:eastAsia="Times New Roman" w:cs="Times New Roman" w:asciiTheme="minorAscii" w:hAnsiTheme="minorAscii"/>
                <w:snapToGrid w:val="0"/>
                <w:color w:val="000000"/>
                <w:spacing w:val="-2"/>
                <w:sz w:val="24"/>
                <w:szCs w:val="24"/>
                <w:lang w:val="en-GB" w:eastAsia="en-US" w:bidi="ar-SA"/>
              </w:rPr>
              <w:t>,</w:t>
            </w:r>
            <w:r>
              <w:rPr>
                <w:rFonts w:hint="default" w:eastAsia="Times New Roman" w:cs="Times New Roman" w:asciiTheme="minorAscii" w:hAnsiTheme="minorAscii"/>
                <w:snapToGrid w:val="0"/>
                <w:color w:val="000000"/>
                <w:spacing w:val="-2"/>
                <w:sz w:val="24"/>
                <w:szCs w:val="24"/>
                <w:lang w:val="en-US" w:eastAsia="en-US" w:bidi="ar-SA"/>
              </w:rPr>
              <w:t xml:space="preserve">” </w:t>
            </w:r>
            <w:r>
              <w:rPr>
                <w:rFonts w:hint="default" w:eastAsia="Times New Roman" w:cs="Times New Roman" w:asciiTheme="minorAscii" w:hAnsiTheme="minorAscii"/>
                <w:i/>
                <w:iCs/>
                <w:snapToGrid w:val="0"/>
                <w:color w:val="000000"/>
                <w:spacing w:val="-2"/>
                <w:sz w:val="24"/>
                <w:szCs w:val="24"/>
                <w:lang w:val="en-US" w:eastAsia="en-US" w:bidi="ar-SA"/>
              </w:rPr>
              <w:t>Harvard Journal of Asiatic Studies</w:t>
            </w:r>
            <w:r>
              <w:rPr>
                <w:rFonts w:hint="default" w:eastAsia="Times New Roman" w:cs="Times New Roman" w:asciiTheme="minorAscii" w:hAnsiTheme="minorAscii"/>
                <w:snapToGrid w:val="0"/>
                <w:color w:val="000000"/>
                <w:spacing w:val="-2"/>
                <w:sz w:val="24"/>
                <w:szCs w:val="24"/>
                <w:lang w:val="en-US" w:eastAsia="en-US" w:bidi="ar-SA"/>
              </w:rPr>
              <w:t xml:space="preserve"> 50(1).</w:t>
            </w:r>
          </w:p>
          <w:p>
            <w:pPr>
              <w:pStyle w:val="6"/>
              <w:spacing w:before="123" w:line="266" w:lineRule="auto"/>
              <w:ind w:left="109" w:right="275" w:firstLine="4"/>
              <w:rPr>
                <w:rFonts w:hint="default" w:asciiTheme="minorAscii" w:hAnsiTheme="minorAscii"/>
                <w:spacing w:val="-2"/>
                <w:sz w:val="24"/>
                <w:szCs w:val="24"/>
                <w:lang w:val="en-US"/>
              </w:rPr>
            </w:pPr>
            <w:r>
              <w:rPr>
                <w:rFonts w:hint="default" w:asciiTheme="minorAscii" w:hAnsiTheme="minorAscii"/>
                <w:spacing w:val="-2"/>
                <w:sz w:val="24"/>
                <w:szCs w:val="24"/>
              </w:rPr>
              <w:t>-</w:t>
            </w:r>
            <w:r>
              <w:rPr>
                <w:rFonts w:hint="default" w:asciiTheme="minorAscii" w:hAnsiTheme="minorAscii"/>
                <w:spacing w:val="-2"/>
                <w:sz w:val="24"/>
                <w:szCs w:val="24"/>
                <w:lang w:val="en-US"/>
              </w:rPr>
              <w:t xml:space="preserve">Lin, Y. (1945). </w:t>
            </w:r>
            <w:r>
              <w:rPr>
                <w:rFonts w:hint="default" w:asciiTheme="minorAscii" w:hAnsiTheme="minorAscii"/>
                <w:i/>
                <w:iCs/>
                <w:spacing w:val="-2"/>
                <w:sz w:val="24"/>
                <w:szCs w:val="24"/>
                <w:lang w:val="en-US"/>
              </w:rPr>
              <w:t>With Love and Irony</w:t>
            </w:r>
            <w:r>
              <w:rPr>
                <w:rFonts w:hint="default" w:asciiTheme="minorAscii" w:hAnsiTheme="minorAscii"/>
                <w:spacing w:val="-2"/>
                <w:sz w:val="24"/>
                <w:szCs w:val="24"/>
                <w:lang w:val="en-US"/>
              </w:rPr>
              <w:t xml:space="preserve">, Blue Ribbon Books. </w:t>
            </w:r>
            <w:r>
              <w:rPr>
                <w:rFonts w:hint="default" w:eastAsia="Times New Roman" w:cs="Times New Roman" w:asciiTheme="minorAscii" w:hAnsiTheme="minorAscii"/>
                <w:i/>
                <w:iCs/>
                <w:snapToGrid w:val="0"/>
                <w:color w:val="000000"/>
                <w:spacing w:val="-2"/>
                <w:sz w:val="24"/>
                <w:szCs w:val="24"/>
                <w:lang w:val="en-US" w:eastAsia="en-US" w:bidi="ar-SA"/>
              </w:rPr>
              <w:t>(selected chapters)</w:t>
            </w:r>
          </w:p>
          <w:p>
            <w:pPr>
              <w:pStyle w:val="6"/>
              <w:spacing w:before="123" w:line="266" w:lineRule="auto"/>
              <w:ind w:left="109" w:right="275" w:firstLine="4"/>
              <w:rPr>
                <w:rFonts w:hint="default" w:asciiTheme="minorAscii" w:hAnsiTheme="minorAscii"/>
                <w:spacing w:val="-2"/>
                <w:sz w:val="24"/>
                <w:szCs w:val="24"/>
                <w:lang w:val="en-US"/>
              </w:rPr>
            </w:pPr>
            <w:r>
              <w:rPr>
                <w:rFonts w:hint="default" w:asciiTheme="minorAscii" w:hAnsiTheme="minorAscii"/>
                <w:spacing w:val="-2"/>
                <w:sz w:val="24"/>
                <w:szCs w:val="24"/>
                <w:lang w:val="en-US"/>
              </w:rPr>
              <w:t xml:space="preserve">-Lin, Y. (1935, 2006). </w:t>
            </w:r>
            <w:r>
              <w:rPr>
                <w:rFonts w:hint="default" w:asciiTheme="minorAscii" w:hAnsiTheme="minorAscii"/>
                <w:i/>
                <w:iCs/>
                <w:spacing w:val="-2"/>
                <w:sz w:val="24"/>
                <w:szCs w:val="24"/>
                <w:lang w:val="en-US"/>
              </w:rPr>
              <w:t>My Country and My People</w:t>
            </w:r>
            <w:r>
              <w:rPr>
                <w:rFonts w:hint="default" w:asciiTheme="minorAscii" w:hAnsiTheme="minorAscii"/>
                <w:spacing w:val="-2"/>
                <w:sz w:val="24"/>
                <w:szCs w:val="24"/>
                <w:lang w:val="en-US"/>
              </w:rPr>
              <w:t xml:space="preserve">, Hesperides Press. </w:t>
            </w:r>
            <w:r>
              <w:rPr>
                <w:rFonts w:hint="default" w:eastAsia="Times New Roman" w:cs="Times New Roman" w:asciiTheme="minorAscii" w:hAnsiTheme="minorAscii"/>
                <w:i/>
                <w:iCs/>
                <w:snapToGrid w:val="0"/>
                <w:color w:val="000000"/>
                <w:spacing w:val="-2"/>
                <w:sz w:val="24"/>
                <w:szCs w:val="24"/>
                <w:lang w:val="en-US" w:eastAsia="en-US" w:bidi="ar-SA"/>
              </w:rPr>
              <w:t>(selected chapters)</w:t>
            </w:r>
          </w:p>
          <w:p>
            <w:pPr>
              <w:pStyle w:val="6"/>
              <w:spacing w:before="123" w:line="266" w:lineRule="auto"/>
              <w:ind w:left="109" w:right="275" w:firstLine="4"/>
              <w:rPr>
                <w:rFonts w:hint="default" w:eastAsia="Times New Roman" w:cs="Times New Roman" w:asciiTheme="minorAscii" w:hAnsiTheme="minorAscii"/>
                <w:i/>
                <w:iCs/>
                <w:snapToGrid w:val="0"/>
                <w:color w:val="000000"/>
                <w:spacing w:val="-2"/>
                <w:sz w:val="24"/>
                <w:szCs w:val="24"/>
                <w:lang w:val="en-US" w:eastAsia="en-US" w:bidi="ar-SA"/>
              </w:rPr>
            </w:pPr>
            <w:r>
              <w:rPr>
                <w:rFonts w:hint="default" w:asciiTheme="minorAscii" w:hAnsiTheme="minorAscii"/>
                <w:spacing w:val="-2"/>
                <w:sz w:val="24"/>
                <w:szCs w:val="24"/>
                <w:lang w:val="en-US"/>
              </w:rPr>
              <w:t xml:space="preserve">-MacDonald, P. (2013). </w:t>
            </w:r>
            <w:r>
              <w:rPr>
                <w:rFonts w:hint="default" w:asciiTheme="minorAscii" w:hAnsiTheme="minorAscii"/>
                <w:i/>
                <w:iCs/>
                <w:spacing w:val="-2"/>
                <w:sz w:val="24"/>
                <w:szCs w:val="24"/>
                <w:lang w:val="en-US"/>
              </w:rPr>
              <w:t>The Philosophy of Humour</w:t>
            </w:r>
            <w:r>
              <w:rPr>
                <w:rFonts w:hint="default" w:asciiTheme="minorAscii" w:hAnsiTheme="minorAscii"/>
                <w:spacing w:val="-2"/>
                <w:sz w:val="24"/>
                <w:szCs w:val="24"/>
                <w:lang w:val="en-US"/>
              </w:rPr>
              <w:t xml:space="preserve">, Humanities-Ebooks. </w:t>
            </w:r>
            <w:r>
              <w:rPr>
                <w:rFonts w:hint="default" w:eastAsia="Times New Roman" w:cs="Times New Roman" w:asciiTheme="minorAscii" w:hAnsiTheme="minorAscii"/>
                <w:i/>
                <w:iCs/>
                <w:snapToGrid w:val="0"/>
                <w:color w:val="000000"/>
                <w:spacing w:val="-2"/>
                <w:sz w:val="24"/>
                <w:szCs w:val="24"/>
                <w:lang w:val="en-US" w:eastAsia="en-US" w:bidi="ar-SA"/>
              </w:rPr>
              <w:t>(selected chapters)</w:t>
            </w:r>
          </w:p>
          <w:p>
            <w:pPr>
              <w:pStyle w:val="6"/>
              <w:spacing w:before="123" w:line="266" w:lineRule="auto"/>
              <w:ind w:left="109" w:right="275" w:firstLine="4"/>
              <w:rPr>
                <w:rFonts w:hint="default" w:eastAsia="Times New Roman" w:cs="Times New Roman" w:asciiTheme="minorAscii" w:hAnsiTheme="minorAscii"/>
                <w:i/>
                <w:iCs/>
                <w:snapToGrid w:val="0"/>
                <w:color w:val="000000"/>
                <w:spacing w:val="-2"/>
                <w:sz w:val="24"/>
                <w:szCs w:val="24"/>
                <w:lang w:val="en-US" w:eastAsia="en-US" w:bidi="ar-SA"/>
              </w:rPr>
            </w:pPr>
            <w:r>
              <w:rPr>
                <w:rFonts w:hint="default" w:cs="Times New Roman" w:asciiTheme="minorAscii" w:hAnsiTheme="minorAscii"/>
                <w:i/>
                <w:iCs/>
                <w:snapToGrid w:val="0"/>
                <w:color w:val="000000"/>
                <w:spacing w:val="-2"/>
                <w:sz w:val="24"/>
                <w:szCs w:val="24"/>
                <w:lang w:val="en-US" w:eastAsia="en-US" w:bidi="ar-SA"/>
              </w:rPr>
              <w:t>-</w:t>
            </w:r>
            <w:r>
              <w:rPr>
                <w:rFonts w:hint="default" w:cs="Times New Roman" w:asciiTheme="minorAscii" w:hAnsiTheme="minorAscii"/>
                <w:i w:val="0"/>
                <w:iCs w:val="0"/>
                <w:snapToGrid w:val="0"/>
                <w:color w:val="000000"/>
                <w:spacing w:val="-2"/>
                <w:sz w:val="24"/>
                <w:szCs w:val="24"/>
                <w:lang w:val="en-US" w:eastAsia="en-US" w:bidi="ar-SA"/>
              </w:rPr>
              <w:t>Moeller, H-G. (2008). “</w:t>
            </w:r>
            <w:r>
              <w:rPr>
                <w:rFonts w:hint="default" w:eastAsia="Times New Roman" w:cs="Times New Roman" w:asciiTheme="minorAscii" w:hAnsiTheme="minorAscii"/>
                <w:snapToGrid w:val="0"/>
                <w:color w:val="000000"/>
                <w:spacing w:val="-2"/>
                <w:sz w:val="24"/>
                <w:szCs w:val="24"/>
                <w:lang w:val="en-US" w:eastAsia="zh-CN" w:bidi="ar-SA"/>
              </w:rPr>
              <w:t xml:space="preserve">Idiotic Irony in the ‘Zhuangzi’,” </w:t>
            </w:r>
            <w:r>
              <w:rPr>
                <w:rFonts w:hint="default" w:cs="Times New Roman" w:asciiTheme="minorAscii" w:hAnsiTheme="minorAscii"/>
                <w:i/>
                <w:iCs/>
                <w:snapToGrid w:val="0"/>
                <w:color w:val="000000"/>
                <w:spacing w:val="-2"/>
                <w:sz w:val="24"/>
                <w:szCs w:val="24"/>
                <w:lang w:val="en-US" w:eastAsia="zh-CN" w:bidi="ar-SA"/>
              </w:rPr>
              <w:t xml:space="preserve">CLEAR </w:t>
            </w:r>
            <w:r>
              <w:rPr>
                <w:rFonts w:hint="default" w:cs="Times New Roman" w:asciiTheme="minorAscii" w:hAnsiTheme="minorAscii"/>
                <w:snapToGrid w:val="0"/>
                <w:color w:val="000000"/>
                <w:spacing w:val="-2"/>
                <w:sz w:val="24"/>
                <w:szCs w:val="24"/>
                <w:lang w:val="en-US" w:eastAsia="zh-CN" w:bidi="ar-SA"/>
              </w:rPr>
              <w:t>30.</w:t>
            </w:r>
          </w:p>
          <w:p>
            <w:pPr>
              <w:pStyle w:val="6"/>
              <w:spacing w:before="123" w:line="266" w:lineRule="auto"/>
              <w:ind w:left="109" w:right="275" w:firstLine="4"/>
              <w:rPr>
                <w:rFonts w:hint="default" w:ascii="Times New Roman" w:hAnsi="Times New Roman" w:cs="Times New Roman"/>
                <w:sz w:val="24"/>
                <w:szCs w:val="24"/>
                <w:lang w:val="en-US"/>
              </w:rPr>
            </w:pPr>
            <w:r>
              <w:rPr>
                <w:rFonts w:hint="default" w:asciiTheme="minorAscii" w:hAnsiTheme="minorAscii"/>
                <w:spacing w:val="-2"/>
                <w:sz w:val="24"/>
                <w:szCs w:val="24"/>
                <w:lang w:val="en-US"/>
              </w:rPr>
              <w:t>-</w:t>
            </w:r>
            <w:r>
              <w:rPr>
                <w:rFonts w:hint="default" w:eastAsia="Times New Roman" w:cs="Times New Roman" w:asciiTheme="minorAscii" w:hAnsiTheme="minorAscii"/>
                <w:snapToGrid w:val="0"/>
                <w:color w:val="000000"/>
                <w:spacing w:val="-2"/>
                <w:sz w:val="24"/>
                <w:szCs w:val="24"/>
                <w:lang w:val="en-GB" w:eastAsia="en-US" w:bidi="ar-SA"/>
              </w:rPr>
              <w:t>Morreall, J</w:t>
            </w:r>
            <w:r>
              <w:rPr>
                <w:rFonts w:hint="default" w:cs="Times New Roman" w:asciiTheme="minorAscii" w:hAnsiTheme="minorAscii"/>
                <w:snapToGrid w:val="0"/>
                <w:color w:val="000000"/>
                <w:spacing w:val="-2"/>
                <w:sz w:val="24"/>
                <w:szCs w:val="24"/>
                <w:lang w:val="en-US" w:eastAsia="en-US" w:bidi="ar-SA"/>
              </w:rPr>
              <w:t>. (2009).</w:t>
            </w:r>
            <w:r>
              <w:rPr>
                <w:rFonts w:hint="default" w:eastAsia="Times New Roman" w:cs="Times New Roman" w:asciiTheme="minorAscii" w:hAnsiTheme="minorAscii"/>
                <w:snapToGrid w:val="0"/>
                <w:color w:val="000000"/>
                <w:spacing w:val="-2"/>
                <w:sz w:val="24"/>
                <w:szCs w:val="24"/>
                <w:lang w:val="en-GB" w:eastAsia="en-US" w:bidi="ar-SA"/>
              </w:rPr>
              <w:t xml:space="preserve"> </w:t>
            </w:r>
            <w:r>
              <w:rPr>
                <w:rFonts w:hint="default" w:eastAsia="Times New Roman" w:cs="Times New Roman" w:asciiTheme="minorAscii" w:hAnsiTheme="minorAscii"/>
                <w:i/>
                <w:iCs/>
                <w:snapToGrid w:val="0"/>
                <w:color w:val="000000"/>
                <w:spacing w:val="-2"/>
                <w:sz w:val="24"/>
                <w:szCs w:val="24"/>
                <w:lang w:val="en-GB" w:eastAsia="en-US" w:bidi="ar-SA"/>
              </w:rPr>
              <w:t>Comic Relief: A Comprehensive Philosophy of Humor</w:t>
            </w:r>
            <w:r>
              <w:rPr>
                <w:rFonts w:hint="default" w:cs="Times New Roman" w:asciiTheme="minorAscii" w:hAnsiTheme="minorAscii"/>
                <w:i w:val="0"/>
                <w:iCs w:val="0"/>
                <w:snapToGrid w:val="0"/>
                <w:color w:val="000000"/>
                <w:spacing w:val="-2"/>
                <w:sz w:val="24"/>
                <w:szCs w:val="24"/>
                <w:lang w:val="en-US" w:eastAsia="en-US" w:bidi="ar-SA"/>
              </w:rPr>
              <w:t>,</w:t>
            </w:r>
            <w:r>
              <w:rPr>
                <w:rFonts w:hint="default" w:eastAsia="Times New Roman" w:cs="Times New Roman" w:asciiTheme="minorAscii" w:hAnsiTheme="minorAscii"/>
                <w:snapToGrid w:val="0"/>
                <w:color w:val="000000"/>
                <w:spacing w:val="-2"/>
                <w:sz w:val="24"/>
                <w:szCs w:val="24"/>
                <w:lang w:val="en-GB" w:eastAsia="en-US" w:bidi="ar-SA"/>
              </w:rPr>
              <w:t xml:space="preserve"> Wiley.</w:t>
            </w:r>
            <w:r>
              <w:rPr>
                <w:rFonts w:hint="default" w:cs="Times New Roman" w:asciiTheme="minorAscii" w:hAnsiTheme="minorAscii"/>
                <w:snapToGrid w:val="0"/>
                <w:color w:val="000000"/>
                <w:spacing w:val="-2"/>
                <w:sz w:val="24"/>
                <w:szCs w:val="24"/>
                <w:lang w:val="en-US" w:eastAsia="en-US" w:bidi="ar-SA"/>
              </w:rPr>
              <w:t xml:space="preserve"> </w:t>
            </w:r>
            <w:r>
              <w:rPr>
                <w:rFonts w:hint="default" w:asciiTheme="minorAscii" w:hAnsiTheme="minorAscii"/>
                <w:i/>
                <w:iCs/>
                <w:spacing w:val="-2"/>
                <w:sz w:val="24"/>
                <w:szCs w:val="24"/>
                <w:lang w:val="en-US"/>
              </w:rPr>
              <w:t>(selected chapters)</w:t>
            </w:r>
          </w:p>
          <w:p>
            <w:pPr>
              <w:pStyle w:val="6"/>
              <w:spacing w:before="123" w:line="266" w:lineRule="auto"/>
              <w:ind w:left="109" w:right="275" w:firstLine="4"/>
              <w:rPr>
                <w:rFonts w:hint="default" w:asciiTheme="minorAscii" w:hAnsiTheme="minorAscii"/>
                <w:spacing w:val="-2"/>
                <w:sz w:val="24"/>
                <w:szCs w:val="24"/>
                <w:lang w:val="en-US"/>
              </w:rPr>
            </w:pPr>
          </w:p>
          <w:p>
            <w:pPr>
              <w:pStyle w:val="6"/>
              <w:spacing w:before="64" w:line="312" w:lineRule="auto"/>
              <w:ind w:left="105" w:right="513" w:firstLine="7"/>
              <w:rPr>
                <w:rFonts w:hint="default" w:asciiTheme="minorAscii" w:hAnsiTheme="minorAscii"/>
                <w:sz w:val="24"/>
                <w:szCs w:val="24"/>
              </w:rPr>
            </w:pPr>
          </w:p>
          <w:p>
            <w:pPr>
              <w:pStyle w:val="6"/>
              <w:spacing w:before="105" w:line="258" w:lineRule="auto"/>
              <w:ind w:left="107" w:right="205" w:hanging="1"/>
              <w:rPr>
                <w:rFonts w:hint="default" w:asciiTheme="minorAscii" w:hAnsiTheme="minorAscii"/>
                <w:spacing w:val="-1"/>
                <w:sz w:val="24"/>
                <w:szCs w:val="24"/>
              </w:rPr>
            </w:pPr>
          </w:p>
        </w:tc>
      </w:tr>
    </w:tbl>
    <w:p>
      <w:pPr>
        <w:rPr>
          <w:sz w:val="24"/>
          <w:szCs w:val="24"/>
        </w:rPr>
      </w:pPr>
    </w:p>
    <w:p>
      <w:pPr>
        <w:rPr>
          <w:sz w:val="24"/>
          <w:szCs w:val="24"/>
        </w:rPr>
        <w:sectPr>
          <w:pgSz w:w="11907" w:h="16839"/>
          <w:pgMar w:top="892" w:right="1406" w:bottom="0" w:left="1020" w:header="0" w:footer="0" w:gutter="0"/>
          <w:cols w:space="720" w:num="1"/>
        </w:sectPr>
      </w:pPr>
    </w:p>
    <w:p>
      <w:pPr>
        <w:spacing w:line="404" w:lineRule="auto"/>
      </w:pPr>
    </w:p>
    <w:p>
      <w:pPr>
        <w:autoSpaceDE w:val="0"/>
        <w:autoSpaceDN w:val="0"/>
        <w:adjustRightInd w:val="0"/>
        <w:jc w:val="center"/>
        <w:rPr>
          <w:rFonts w:eastAsia="TimesNewRomanPS-BoldMT" w:asciiTheme="minorHAnsi" w:hAnsiTheme="minorHAnsi" w:cstheme="minorHAnsi"/>
          <w:b/>
          <w:color w:val="249087" w:themeColor="accent5" w:themeShade="BF"/>
          <w:sz w:val="28"/>
          <w:szCs w:val="28"/>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autoSpaceDE w:val="0"/>
        <w:autoSpaceDN w:val="0"/>
        <w:adjustRightInd w:val="0"/>
        <w:jc w:val="center"/>
        <w:rPr>
          <w:rFonts w:eastAsia="TimesNewRomanPS-BoldMT" w:asciiTheme="minorHAnsi" w:hAnsiTheme="minorHAnsi" w:cstheme="minorHAnsi"/>
          <w:b/>
          <w:color w:val="249087" w:themeColor="accent5" w:themeShade="BF"/>
          <w:sz w:val="22"/>
          <w:szCs w:val="22"/>
        </w:rPr>
      </w:pPr>
    </w:p>
    <w:p>
      <w:pPr>
        <w:rPr>
          <w:rFonts w:asciiTheme="minorHAnsi" w:hAnsiTheme="minorHAnsi" w:cstheme="minorHAnsi"/>
          <w:b/>
          <w:sz w:val="22"/>
          <w:szCs w:val="22"/>
          <w:lang w:eastAsia="zh-CN"/>
        </w:rPr>
      </w:pPr>
    </w:p>
    <w:p/>
    <w:p/>
    <w:sectPr>
      <w:pgSz w:w="11907" w:h="16839"/>
      <w:pgMar w:top="1261" w:right="1133" w:bottom="0" w:left="1144"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altName w:val="汉仪书宋二KW"/>
    <w:panose1 w:val="00000000000000000000"/>
    <w:charset w:val="86"/>
    <w:family w:val="auto"/>
    <w:pitch w:val="default"/>
    <w:sig w:usb0="00000000" w:usb1="00000000" w:usb2="00000000" w:usb3="00000000" w:csb0="00000000" w:csb1="00000000"/>
  </w:font>
  <w:font w:name="Arial">
    <w:panose1 w:val="020B0604020202090204"/>
    <w:charset w:val="00"/>
    <w:family w:val="swiss"/>
    <w:pitch w:val="default"/>
    <w:sig w:usb0="E0000AFF" w:usb1="00007843" w:usb2="00000001" w:usb3="00000000" w:csb0="400001BF" w:csb1="DFF70000"/>
  </w:font>
  <w:font w:name="黑体">
    <w:altName w:val="汉仪中黑KW"/>
    <w:panose1 w:val="02010600030101010101"/>
    <w:charset w:val="00"/>
    <w:family w:val="auto"/>
    <w:pitch w:val="default"/>
    <w:sig w:usb0="00000001" w:usb1="080E0000" w:usb2="00000010" w:usb3="00000000" w:csb0="00040000" w:csb1="00000000"/>
  </w:font>
  <w:font w:name="Courier New">
    <w:panose1 w:val="02070409020205090404"/>
    <w:charset w:val="00"/>
    <w:family w:val="modern"/>
    <w:pitch w:val="default"/>
    <w:sig w:usb0="E0000AFF" w:usb1="40007843" w:usb2="00000001" w:usb3="00000000" w:csb0="400001BF" w:csb1="DFF70000"/>
  </w:font>
  <w:font w:name="Wingdings">
    <w:panose1 w:val="05000000000000000000"/>
    <w:charset w:val="00"/>
    <w:family w:val="auto"/>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SimSun">
    <w:altName w:val="汉仪书宋二KW"/>
    <w:panose1 w:val="02010600030101010101"/>
    <w:charset w:val="86"/>
    <w:family w:val="auto"/>
    <w:pitch w:val="default"/>
    <w:sig w:usb0="00000000" w:usb1="00000000" w:usb2="00000016" w:usb3="00000000" w:csb0="00040001" w:csb1="00000000"/>
  </w:font>
  <w:font w:name="汉仪书宋二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汉仪中黑KW">
    <w:panose1 w:val="00020600040101010101"/>
    <w:charset w:val="86"/>
    <w:family w:val="auto"/>
    <w:pitch w:val="default"/>
    <w:sig w:usb0="A00002BF" w:usb1="18EF7CFA" w:usb2="00000016" w:usb3="00000000" w:csb0="00040000" w:csb1="00000000"/>
  </w:font>
  <w:font w:name="TimesNewRomanPS-BoldMT">
    <w:panose1 w:val="02020603050405020304"/>
    <w:charset w:val="88"/>
    <w:family w:val="auto"/>
    <w:pitch w:val="default"/>
    <w:sig w:usb0="E0002AEF" w:usb1="C0007841" w:usb2="00000009" w:usb3="00000000" w:csb0="400001FF" w:csb1="FFFF0000"/>
  </w:font>
  <w:font w:name="TimesNewRomanPSMT">
    <w:panose1 w:val="02020603050405020304"/>
    <w:charset w:val="88"/>
    <w:family w:val="auto"/>
    <w:pitch w:val="default"/>
    <w:sig w:usb0="E0002AEF" w:usb1="C0007841" w:usb2="00000009" w:usb3="00000000" w:csb0="400001FF" w:csb1="FFFF0000"/>
  </w:font>
  <w:font w:name="Garamond-Bold">
    <w:altName w:val="苹方-简"/>
    <w:panose1 w:val="00000000000000000000"/>
    <w:charset w:val="88"/>
    <w:family w:val="auto"/>
    <w:pitch w:val="default"/>
    <w:sig w:usb0="00000000" w:usb1="00000000" w:usb2="00000010" w:usb3="00000000" w:csb0="00100000" w:csb1="00000000"/>
  </w:font>
  <w:font w:name="DengXian">
    <w:altName w:val="汉仪中等线KW"/>
    <w:panose1 w:val="02010600030101010101"/>
    <w:charset w:val="86"/>
    <w:family w:val="auto"/>
    <w:pitch w:val="default"/>
    <w:sig w:usb0="00000000" w:usb1="00000000" w:usb2="00000016" w:usb3="00000000" w:csb0="0004000F" w:csb1="00000000"/>
  </w:font>
  <w:font w:name="新細明體">
    <w:altName w:val="宋体-繁"/>
    <w:panose1 w:val="02020500000000000000"/>
    <w:charset w:val="88"/>
    <w:family w:val="roman"/>
    <w:pitch w:val="default"/>
    <w:sig w:usb0="00000000" w:usb1="00000000" w:usb2="00000016" w:usb3="00000000" w:csb0="00100001" w:csb1="00000000"/>
  </w:font>
  <w:font w:name="宋体-繁">
    <w:panose1 w:val="02010600040101010101"/>
    <w:charset w:val="86"/>
    <w:family w:val="auto"/>
    <w:pitch w:val="default"/>
    <w:sig w:usb0="00000287" w:usb1="080F0000" w:usb2="00000000" w:usb3="00000000" w:csb0="0004009F" w:csb1="DFD70000"/>
  </w:font>
  <w:font w:name="宋体-简">
    <w:panose1 w:val="02010800040101010101"/>
    <w:charset w:val="86"/>
    <w:family w:val="auto"/>
    <w:pitch w:val="default"/>
    <w:sig w:usb0="00000001" w:usb1="080F0000" w:usb2="00000000" w:usb3="00000000" w:csb0="00040000" w:csb1="00000000"/>
  </w:font>
  <w:font w:name="汉仪中等线KW">
    <w:panose1 w:val="01010104010101010101"/>
    <w:charset w:val="86"/>
    <w:family w:val="auto"/>
    <w:pitch w:val="default"/>
    <w:sig w:usb0="800002BF" w:usb1="004F7CFA" w:usb2="00000000" w:usb3="00000000" w:csb0="00040001" w:csb1="00000000"/>
  </w:font>
  <w:font w:name="新細明體">
    <w:altName w:val="宋体-繁"/>
    <w:panose1 w:val="02020500000000000000"/>
    <w:charset w:val="86"/>
    <w:family w:val="roman"/>
    <w:pitch w:val="default"/>
    <w:sig w:usb0="00000000" w:usb1="00000000" w:usb2="00000016" w:usb3="00000000" w:csb0="00100001" w:csb1="00000000"/>
  </w:font>
  <w:font w:name="DengXian">
    <w:altName w:val="汉仪中等线KW"/>
    <w:panose1 w:val="02010600030101010101"/>
    <w:charset w:val="00"/>
    <w:family w:val="modern"/>
    <w:pitch w:val="default"/>
    <w:sig w:usb0="00000000" w:usb1="00000000" w:usb2="00000010" w:usb3="00000000" w:csb0="00040000" w:csb1="00000000"/>
  </w:font>
  <w:font w:name="苹方-简">
    <w:panose1 w:val="020B0400000000000000"/>
    <w:charset w:val="86"/>
    <w:family w:val="auto"/>
    <w:pitch w:val="default"/>
    <w:sig w:usb0="A00002FF" w:usb1="7ACFFDFB" w:usb2="00000017" w:usb3="00000000" w:csb0="00040001" w:csb1="00000000"/>
  </w:font>
  <w:font w:name="MS PGothic">
    <w:altName w:val="苹方-简"/>
    <w:panose1 w:val="020B0600070205080204"/>
    <w:charset w:val="00"/>
    <w:family w:val="swiss"/>
    <w:pitch w:val="default"/>
    <w:sig w:usb0="00000000" w:usb1="00000000" w:usb2="08000012" w:usb3="00000000" w:csb0="0002009F" w:csb1="00000000"/>
  </w:font>
  <w:font w:name="Helvetica">
    <w:panose1 w:val="00000000000000000000"/>
    <w:charset w:val="00"/>
    <w:family w:val="auto"/>
    <w:pitch w:val="default"/>
    <w:sig w:usb0="E00002FF" w:usb1="5000785B" w:usb2="00000000" w:usb3="00000000" w:csb0="2000019F" w:csb1="4F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7CB3F2"/>
    <w:multiLevelType w:val="singleLevel"/>
    <w:tmpl w:val="AB7CB3F2"/>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0"/>
  <w:embedSystemFonts/>
  <w:bordersDoNotSurroundHeader w:val="0"/>
  <w:bordersDoNotSurroundFooter w:val="0"/>
  <w:documentProtection w:enforcement="0"/>
  <w:defaultTabStop w:val="720"/>
  <w:drawingGridVerticalSpacing w:val="156"/>
  <w:displayHorizontalDrawingGridEvery w:val="1"/>
  <w:displayVerticalDrawingGridEvery w:val="1"/>
  <w:noPunctuationKerning w:val="1"/>
  <w:characterSpacingControl w:val="doNotCompress"/>
  <w:compat>
    <w:spaceForUL/>
    <w:doNotLeaveBackslashAlone/>
    <w:ulTrailSpace/>
    <w:doNotExpandShiftReturn/>
    <w:adjustLineHeightInTable/>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2D443A"/>
    <w:rsid w:val="3F2D44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iPriority="99"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character" w:default="1" w:styleId="2">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4">
    <w:name w:val="footnote text"/>
    <w:basedOn w:val="1"/>
    <w:unhideWhenUsed/>
    <w:qFormat/>
    <w:uiPriority w:val="99"/>
    <w:pPr>
      <w:spacing w:after="0" w:line="240" w:lineRule="auto"/>
    </w:pPr>
    <w:rPr>
      <w:rFonts w:ascii="Calibri" w:hAnsi="Calibri" w:eastAsia="SimSun" w:cs="Times New Roman"/>
      <w:sz w:val="20"/>
      <w:szCs w:val="20"/>
    </w:rPr>
  </w:style>
  <w:style w:type="table" w:styleId="5">
    <w:name w:val="Table Grid"/>
    <w:basedOn w:val="3"/>
    <w:uiPriority w:val="3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Table Text"/>
    <w:basedOn w:val="1"/>
    <w:semiHidden/>
    <w:qFormat/>
    <w:uiPriority w:val="0"/>
    <w:rPr>
      <w:rFonts w:ascii="Times New Roman" w:hAnsi="Times New Roman" w:eastAsia="Times New Roman" w:cs="Times New Roman"/>
      <w:sz w:val="22"/>
      <w:szCs w:val="22"/>
    </w:rPr>
  </w:style>
  <w:style w:type="table" w:customStyle="1" w:styleId="7">
    <w:name w:val="Table Normal1"/>
    <w:semiHidden/>
    <w:unhideWhenUsed/>
    <w:qFormat/>
    <w:uiPriority w:val="0"/>
    <w:tblPr>
      <w:tblCellMar>
        <w:top w:w="0" w:type="dxa"/>
        <w:left w:w="0" w:type="dxa"/>
        <w:bottom w:w="0" w:type="dxa"/>
        <w:right w:w="0" w:type="dxa"/>
      </w:tblCellMar>
    </w:tblPr>
  </w:style>
  <w:style w:type="paragraph" w:styleId="8">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Office_6.5.2.8766_F1E327BC-269C-435d-A152-05C5408002CA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2024-03-24T17:54:00Z</dcterms:created>
  <dc:creator>Dimitra Amarantidou</dc:creator>
  <cp:lastModifiedBy>Dimitra Amarantidou</cp:lastModifiedBy>
  <dcterms:modified xsi:type="dcterms:W3CDTF">2024-03-24T18:38:31Z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1033-6.5.2.8766</vt:lpwstr>
  </property>
  <property fmtid="{D5CDD505-2E9C-101B-9397-08002B2CF9AE}" pid="3" name="ICV">
    <vt:lpwstr>35DE75B354EC708752F8FF653CA74502_41</vt:lpwstr>
  </property>
</Properties>
</file>